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4DF14">
      <w:pPr>
        <w:spacing w:line="800" w:lineRule="exact"/>
        <w:ind w:left="-92" w:leftChars="-85" w:hanging="180" w:hangingChars="64"/>
        <w:rPr>
          <w:rFonts w:hint="default" w:ascii="宋体" w:hAnsi="宋体" w:eastAsia="宋体"/>
          <w:b/>
          <w:color w:val="000000" w:themeColor="text1"/>
          <w:sz w:val="28"/>
          <w:szCs w:val="28"/>
          <w:lang w:val="en-US" w:eastAsia="zh-CN"/>
          <w14:textFill>
            <w14:solidFill>
              <w14:schemeClr w14:val="tx1"/>
            </w14:solidFill>
          </w14:textFill>
        </w:rPr>
      </w:pPr>
      <w:bookmarkStart w:id="113" w:name="_GoBack"/>
    </w:p>
    <w:p w14:paraId="4E5FB5A8">
      <w:pPr>
        <w:jc w:val="center"/>
        <w:rPr>
          <w:rFonts w:hint="eastAsia" w:ascii="方正小标宋简体" w:hAnsi="方正小标宋简体" w:eastAsia="方正小标宋简体" w:cs="方正小标宋简体"/>
          <w:b/>
          <w:bCs/>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bCs/>
          <w:color w:val="000000" w:themeColor="text1"/>
          <w:sz w:val="44"/>
          <w:szCs w:val="44"/>
          <w:lang w:val="en-US" w:eastAsia="zh-CN"/>
          <w14:textFill>
            <w14:solidFill>
              <w14:schemeClr w14:val="tx1"/>
            </w14:solidFill>
          </w14:textFill>
        </w:rPr>
        <w:t>佛山市顺德区市政工程安全生产文明施工示范项目评价评分表（暨自评表）</w:t>
      </w:r>
    </w:p>
    <w:p w14:paraId="3F610E96">
      <w:pPr>
        <w:spacing w:line="820" w:lineRule="exact"/>
        <w:rPr>
          <w:rFonts w:hint="eastAsia" w:ascii="宋体" w:hAnsi="宋体" w:eastAsia="宋体"/>
          <w:b/>
          <w:color w:val="000000" w:themeColor="text1"/>
          <w:sz w:val="28"/>
          <w:szCs w:val="28"/>
          <w14:textFill>
            <w14:solidFill>
              <w14:schemeClr w14:val="tx1"/>
            </w14:solidFill>
          </w14:textFill>
        </w:rPr>
      </w:pPr>
    </w:p>
    <w:p w14:paraId="31738272">
      <w:pPr>
        <w:spacing w:line="820" w:lineRule="exact"/>
        <w:ind w:firstLine="562" w:firstLineChars="200"/>
        <w:rPr>
          <w:rFonts w:hint="eastAsia" w:ascii="宋体" w:hAnsi="宋体" w:eastAsia="宋体"/>
          <w:b/>
          <w:color w:val="000000" w:themeColor="text1"/>
          <w:sz w:val="28"/>
          <w:szCs w:val="28"/>
          <w14:textFill>
            <w14:solidFill>
              <w14:schemeClr w14:val="tx1"/>
            </w14:solidFill>
          </w14:textFill>
        </w:rPr>
      </w:pPr>
    </w:p>
    <w:p w14:paraId="2A33372B">
      <w:pPr>
        <w:spacing w:line="820" w:lineRule="exact"/>
        <w:ind w:firstLine="602" w:firstLineChars="200"/>
        <w:rPr>
          <w:rFonts w:hint="eastAsia" w:ascii="仿宋" w:hAnsi="仿宋" w:eastAsia="仿宋" w:cs="仿宋"/>
          <w:b/>
          <w:color w:val="000000" w:themeColor="text1"/>
          <w:sz w:val="30"/>
          <w:szCs w:val="30"/>
          <w:u w:val="single"/>
          <w:lang w:val="en-US"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工程名称：</w:t>
      </w:r>
      <w:r>
        <w:rPr>
          <w:rFonts w:hint="eastAsia" w:ascii="仿宋" w:hAnsi="仿宋" w:eastAsia="仿宋" w:cs="仿宋"/>
          <w:b/>
          <w:color w:val="000000" w:themeColor="text1"/>
          <w:sz w:val="30"/>
          <w:szCs w:val="30"/>
          <w:u w:val="single"/>
          <w14:textFill>
            <w14:solidFill>
              <w14:schemeClr w14:val="tx1"/>
            </w14:solidFill>
          </w14:textFill>
        </w:rPr>
        <w:t xml:space="preserve">                                  </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40236DED">
      <w:pPr>
        <w:spacing w:line="820" w:lineRule="exact"/>
        <w:ind w:firstLine="602" w:firstLineChars="200"/>
        <w:rPr>
          <w:rFonts w:hint="eastAsia" w:ascii="仿宋" w:hAnsi="仿宋" w:eastAsia="仿宋" w:cs="仿宋"/>
          <w:b/>
          <w:color w:val="000000" w:themeColor="text1"/>
          <w:sz w:val="30"/>
          <w:szCs w:val="30"/>
          <w:lang w:val="en-US"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施工单位</w:t>
      </w:r>
      <w:r>
        <w:rPr>
          <w:rFonts w:hint="eastAsia" w:ascii="仿宋" w:hAnsi="仿宋" w:eastAsia="仿宋" w:cs="仿宋"/>
          <w:b/>
          <w:color w:val="000000" w:themeColor="text1"/>
          <w:sz w:val="30"/>
          <w:szCs w:val="30"/>
          <w:lang w:eastAsia="zh-CN"/>
          <w14:textFill>
            <w14:solidFill>
              <w14:schemeClr w14:val="tx1"/>
            </w14:solidFill>
          </w14:textFill>
        </w:rPr>
        <w:t>（盖章）</w:t>
      </w:r>
      <w:r>
        <w:rPr>
          <w:rFonts w:hint="eastAsia" w:ascii="仿宋" w:hAnsi="仿宋" w:eastAsia="仿宋" w:cs="仿宋"/>
          <w:b/>
          <w:color w:val="000000" w:themeColor="text1"/>
          <w:sz w:val="30"/>
          <w:szCs w:val="30"/>
          <w14:textFill>
            <w14:solidFill>
              <w14:schemeClr w14:val="tx1"/>
            </w14:solidFill>
          </w14:textFill>
        </w:rPr>
        <w:t>：</w:t>
      </w:r>
      <w:r>
        <w:rPr>
          <w:rFonts w:hint="eastAsia" w:ascii="仿宋" w:hAnsi="仿宋" w:eastAsia="仿宋" w:cs="仿宋"/>
          <w:b/>
          <w:color w:val="000000" w:themeColor="text1"/>
          <w:sz w:val="30"/>
          <w:szCs w:val="30"/>
          <w:u w:val="single"/>
          <w14:textFill>
            <w14:solidFill>
              <w14:schemeClr w14:val="tx1"/>
            </w14:solidFill>
          </w14:textFill>
        </w:rPr>
        <w:t xml:space="preserve">                                 </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r>
        <w:rPr>
          <w:rFonts w:hint="eastAsia" w:ascii="仿宋" w:hAnsi="仿宋" w:eastAsia="仿宋" w:cs="仿宋"/>
          <w:b/>
          <w:color w:val="000000" w:themeColor="text1"/>
          <w:sz w:val="30"/>
          <w:szCs w:val="30"/>
          <w:u w:val="single"/>
          <w14:textFill>
            <w14:solidFill>
              <w14:schemeClr w14:val="tx1"/>
            </w14:solidFill>
          </w14:textFill>
        </w:rPr>
        <w:t xml:space="preserve"> </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6EDD7E77">
      <w:pPr>
        <w:spacing w:line="820" w:lineRule="exact"/>
        <w:ind w:firstLine="602" w:firstLineChars="200"/>
        <w:rPr>
          <w:rFonts w:hint="eastAsia" w:ascii="仿宋" w:hAnsi="仿宋" w:eastAsia="仿宋" w:cs="仿宋"/>
          <w:b/>
          <w:color w:val="000000" w:themeColor="text1"/>
          <w:sz w:val="30"/>
          <w:szCs w:val="30"/>
          <w:u w:val="single"/>
          <w:lang w:val="en-US" w:eastAsia="zh-CN"/>
          <w14:textFill>
            <w14:solidFill>
              <w14:schemeClr w14:val="tx1"/>
            </w14:solidFill>
          </w14:textFill>
        </w:rPr>
      </w:pPr>
      <w:r>
        <w:rPr>
          <w:rFonts w:hint="eastAsia" w:ascii="仿宋" w:hAnsi="仿宋" w:eastAsia="仿宋" w:cs="仿宋"/>
          <w:b/>
          <w:color w:val="000000" w:themeColor="text1"/>
          <w:sz w:val="30"/>
          <w:szCs w:val="30"/>
          <w:lang w:eastAsia="zh-CN"/>
          <w14:textFill>
            <w14:solidFill>
              <w14:schemeClr w14:val="tx1"/>
            </w14:solidFill>
          </w14:textFill>
        </w:rPr>
        <w:t>专业分包</w:t>
      </w:r>
      <w:r>
        <w:rPr>
          <w:rFonts w:hint="eastAsia" w:ascii="仿宋" w:hAnsi="仿宋" w:eastAsia="仿宋" w:cs="仿宋"/>
          <w:b/>
          <w:color w:val="000000" w:themeColor="text1"/>
          <w:sz w:val="30"/>
          <w:szCs w:val="30"/>
          <w14:textFill>
            <w14:solidFill>
              <w14:schemeClr w14:val="tx1"/>
            </w14:solidFill>
          </w14:textFill>
        </w:rPr>
        <w:t>单位</w:t>
      </w:r>
      <w:r>
        <w:rPr>
          <w:rFonts w:hint="eastAsia" w:ascii="仿宋" w:hAnsi="仿宋" w:eastAsia="仿宋" w:cs="仿宋"/>
          <w:b/>
          <w:color w:val="000000" w:themeColor="text1"/>
          <w:sz w:val="30"/>
          <w:szCs w:val="30"/>
          <w:lang w:eastAsia="zh-CN"/>
          <w14:textFill>
            <w14:solidFill>
              <w14:schemeClr w14:val="tx1"/>
            </w14:solidFill>
          </w14:textFill>
        </w:rPr>
        <w:t>（盖章）</w:t>
      </w:r>
      <w:r>
        <w:rPr>
          <w:rFonts w:hint="eastAsia" w:ascii="仿宋" w:hAnsi="仿宋" w:eastAsia="仿宋" w:cs="仿宋"/>
          <w:b/>
          <w:color w:val="000000" w:themeColor="text1"/>
          <w:sz w:val="30"/>
          <w:szCs w:val="30"/>
          <w14:textFill>
            <w14:solidFill>
              <w14:schemeClr w14:val="tx1"/>
            </w14:solidFill>
          </w14:textFill>
        </w:rPr>
        <w:t>：</w:t>
      </w:r>
      <w:r>
        <w:rPr>
          <w:rFonts w:hint="eastAsia" w:ascii="仿宋" w:hAnsi="仿宋" w:eastAsia="仿宋" w:cs="仿宋"/>
          <w:b/>
          <w:color w:val="000000" w:themeColor="text1"/>
          <w:sz w:val="30"/>
          <w:szCs w:val="30"/>
          <w:u w:val="single"/>
          <w14:textFill>
            <w14:solidFill>
              <w14:schemeClr w14:val="tx1"/>
            </w14:solidFill>
          </w14:textFill>
        </w:rPr>
        <w:t xml:space="preserve">                                  </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70287AF6">
      <w:pPr>
        <w:spacing w:line="820" w:lineRule="exact"/>
        <w:ind w:firstLine="602" w:firstLineChars="200"/>
        <w:rPr>
          <w:rFonts w:hint="eastAsia" w:ascii="仿宋" w:hAnsi="仿宋" w:eastAsia="仿宋" w:cs="仿宋"/>
          <w:b/>
          <w:color w:val="000000" w:themeColor="text1"/>
          <w:sz w:val="30"/>
          <w:szCs w:val="30"/>
          <w:u w:val="single"/>
          <w:lang w:val="en-US" w:eastAsia="zh-CN"/>
          <w14:textFill>
            <w14:solidFill>
              <w14:schemeClr w14:val="tx1"/>
            </w14:solidFill>
          </w14:textFill>
        </w:rPr>
      </w:pPr>
      <w:r>
        <w:rPr>
          <w:rFonts w:hint="eastAsia" w:ascii="仿宋" w:hAnsi="仿宋" w:eastAsia="仿宋" w:cs="仿宋"/>
          <w:b/>
          <w:color w:val="000000" w:themeColor="text1"/>
          <w:sz w:val="30"/>
          <w:szCs w:val="30"/>
          <w:u w:val="none"/>
          <w:lang w:val="en-US" w:eastAsia="zh-CN"/>
          <w14:textFill>
            <w14:solidFill>
              <w14:schemeClr w14:val="tx1"/>
            </w14:solidFill>
          </w14:textFill>
        </w:rPr>
        <w:t xml:space="preserve">                     </w:t>
      </w:r>
      <w:r>
        <w:rPr>
          <w:rFonts w:hint="eastAsia" w:ascii="仿宋" w:hAnsi="仿宋" w:eastAsia="仿宋" w:cs="仿宋"/>
          <w:b/>
          <w:color w:val="000000" w:themeColor="text1"/>
          <w:sz w:val="30"/>
          <w:szCs w:val="30"/>
          <w:u w:val="single"/>
          <w14:textFill>
            <w14:solidFill>
              <w14:schemeClr w14:val="tx1"/>
            </w14:solidFill>
          </w14:textFill>
        </w:rPr>
        <w:t xml:space="preserve">                                  </w:t>
      </w:r>
      <w:r>
        <w:rPr>
          <w:rFonts w:hint="eastAsia" w:ascii="仿宋" w:hAnsi="仿宋" w:eastAsia="仿宋" w:cs="仿宋"/>
          <w:b/>
          <w:color w:val="000000" w:themeColor="text1"/>
          <w:sz w:val="30"/>
          <w:szCs w:val="30"/>
          <w:u w:val="single"/>
          <w:lang w:val="en-US" w:eastAsia="zh-CN"/>
          <w14:textFill>
            <w14:solidFill>
              <w14:schemeClr w14:val="tx1"/>
            </w14:solidFill>
          </w14:textFill>
        </w:rPr>
        <w:t xml:space="preserve">   </w:t>
      </w:r>
    </w:p>
    <w:p w14:paraId="408A73F2">
      <w:pPr>
        <w:spacing w:before="240" w:line="820" w:lineRule="exact"/>
        <w:ind w:firstLine="602" w:firstLineChars="200"/>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形象进度： </w:t>
      </w:r>
      <w:r>
        <w:rPr>
          <w:rFonts w:hint="eastAsia" w:ascii="仿宋" w:hAnsi="仿宋" w:eastAsia="仿宋" w:cs="仿宋"/>
          <w:b/>
          <w:color w:val="000000" w:themeColor="text1"/>
          <w:sz w:val="30"/>
          <w:szCs w:val="30"/>
          <w:lang w:eastAsia="zh-CN"/>
          <w14:textFill>
            <w14:solidFill>
              <w14:schemeClr w14:val="tx1"/>
            </w14:solidFill>
          </w14:textFill>
        </w:rPr>
        <w:t>当前</w:t>
      </w:r>
      <w:r>
        <w:rPr>
          <w:rFonts w:hint="eastAsia" w:ascii="仿宋" w:hAnsi="仿宋" w:eastAsia="仿宋" w:cs="仿宋"/>
          <w:b/>
          <w:color w:val="000000" w:themeColor="text1"/>
          <w:sz w:val="30"/>
          <w:szCs w:val="30"/>
          <w14:textFill>
            <w14:solidFill>
              <w14:schemeClr w14:val="tx1"/>
            </w14:solidFill>
          </w14:textFill>
        </w:rPr>
        <w:t>进度（</w:t>
      </w:r>
      <w:r>
        <w:rPr>
          <w:rFonts w:hint="eastAsia" w:ascii="仿宋" w:hAnsi="仿宋" w:eastAsia="仿宋" w:cs="仿宋"/>
          <w:b/>
          <w:color w:val="000000" w:themeColor="text1"/>
          <w:sz w:val="30"/>
          <w:szCs w:val="30"/>
          <w:u w:val="single"/>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w:t>
      </w:r>
    </w:p>
    <w:p w14:paraId="5A40651F">
      <w:pPr>
        <w:spacing w:line="820" w:lineRule="exact"/>
        <w:ind w:firstLine="602" w:firstLineChars="200"/>
        <w:rPr>
          <w:rFonts w:hint="eastAsia" w:ascii="宋体" w:hAnsi="宋体"/>
          <w:b/>
          <w:color w:val="000000" w:themeColor="text1"/>
          <w:sz w:val="32"/>
          <w:szCs w:val="32"/>
          <w:lang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2731135</wp:posOffset>
                </wp:positionH>
                <wp:positionV relativeFrom="paragraph">
                  <wp:posOffset>189865</wp:posOffset>
                </wp:positionV>
                <wp:extent cx="320675" cy="287020"/>
                <wp:effectExtent l="7620" t="8255" r="22225" b="9525"/>
                <wp:wrapNone/>
                <wp:docPr id="2" name="矩形 2"/>
                <wp:cNvGraphicFramePr/>
                <a:graphic xmlns:a="http://schemas.openxmlformats.org/drawingml/2006/main">
                  <a:graphicData uri="http://schemas.microsoft.com/office/word/2010/wordprocessingShape">
                    <wps:wsp>
                      <wps:cNvSpPr/>
                      <wps:spPr>
                        <a:xfrm>
                          <a:off x="0" y="0"/>
                          <a:ext cx="320675" cy="287020"/>
                        </a:xfrm>
                        <a:prstGeom prst="rect">
                          <a:avLst/>
                        </a:prstGeom>
                        <a:noFill/>
                        <a:ln w="1587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15.05pt;margin-top:14.95pt;height:22.6pt;width:25.25pt;z-index:251660288;mso-width-relative:page;mso-height-relative:page;" filled="f" stroked="t" coordsize="21600,21600" o:gfxdata="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zB9lHZAAAACQEAAA8AAAAAAAAAAQAgAAAAIgAAAGRycy9kb3ducmV2LnhtbFBL&#10;AQIUABQAAAAIAIdO4kA8onk29QEAAPUDAAAOAAAAAAAAAAEAIAAAACgBAABkcnMvZTJvRG9jLnht&#10;bFBLBQYAAAAABgAGAFkBAACPBQAAAAA=&#10;">
                <v:fill on="f" focussize="0,0"/>
                <v:stroke weight="1.25pt" color="#000000" joinstyle="miter"/>
                <v:imagedata o:title=""/>
                <o:lock v:ext="edit" aspectratio="f"/>
              </v:rect>
            </w:pict>
          </mc:Fallback>
        </mc:AlternateContent>
      </w:r>
      <w:r>
        <w:rPr>
          <w:rFonts w:hint="eastAsia" w:ascii="仿宋" w:hAnsi="仿宋" w:eastAsia="仿宋" w:cs="仿宋"/>
          <w:b/>
          <w:color w:val="000000" w:themeColor="text1"/>
          <w:sz w:val="30"/>
          <w:szCs w:val="30"/>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801370</wp:posOffset>
                </wp:positionH>
                <wp:positionV relativeFrom="paragraph">
                  <wp:posOffset>172720</wp:posOffset>
                </wp:positionV>
                <wp:extent cx="320675" cy="287020"/>
                <wp:effectExtent l="7620" t="8255" r="22225" b="9525"/>
                <wp:wrapNone/>
                <wp:docPr id="1" name="矩形 1"/>
                <wp:cNvGraphicFramePr/>
                <a:graphic xmlns:a="http://schemas.openxmlformats.org/drawingml/2006/main">
                  <a:graphicData uri="http://schemas.microsoft.com/office/word/2010/wordprocessingShape">
                    <wps:wsp>
                      <wps:cNvSpPr/>
                      <wps:spPr>
                        <a:xfrm>
                          <a:off x="0" y="0"/>
                          <a:ext cx="320675" cy="287020"/>
                        </a:xfrm>
                        <a:prstGeom prst="rect">
                          <a:avLst/>
                        </a:prstGeom>
                        <a:noFill/>
                        <a:ln w="1587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63.1pt;margin-top:13.6pt;height:22.6pt;width:25.25pt;z-index:251659264;mso-width-relative:page;mso-height-relative:page;" filled="f" stroked="t" coordsize="21600,21600" o:gfxdata="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sS75h1wAAAAkBAAAPAAAAAAAAAAEAIAAAACIAAABkcnMvZG93bnJldi54bWxQSwEC&#10;FAAUAAAACACHTuJACkHKA/UBAAD1AwAADgAAAAAAAAABACAAAAAmAQAAZHJzL2Uyb0RvYy54bWxQ&#10;SwUGAAAAAAYABgBZAQAAjQUAAAAA&#10;">
                <v:fill on="f" focussize="0,0"/>
                <v:stroke weight="1.25pt" color="#000000" joinstyle="miter"/>
                <v:imagedata o:title=""/>
                <o:lock v:ext="edit" aspectratio="f"/>
              </v:rect>
            </w:pict>
          </mc:Fallback>
        </mc:AlternateContent>
      </w:r>
      <w:r>
        <w:rPr>
          <w:rFonts w:hint="eastAsia" w:ascii="仿宋" w:hAnsi="仿宋" w:eastAsia="仿宋" w:cs="仿宋"/>
          <w:b/>
          <w:color w:val="000000" w:themeColor="text1"/>
          <w:sz w:val="30"/>
          <w:szCs w:val="30"/>
          <w14:textFill>
            <w14:solidFill>
              <w14:schemeClr w14:val="tx1"/>
            </w14:solidFill>
          </w14:textFill>
        </w:rPr>
        <w:t xml:space="preserve">初评           </w:t>
      </w:r>
      <w:r>
        <w:rPr>
          <w:rFonts w:hint="eastAsia" w:ascii="仿宋" w:hAnsi="仿宋" w:eastAsia="仿宋" w:cs="仿宋"/>
          <w:b/>
          <w:color w:val="000000" w:themeColor="text1"/>
          <w:sz w:val="30"/>
          <w:szCs w:val="30"/>
          <w:lang w:val="en-US" w:eastAsia="zh-CN"/>
          <w14:textFill>
            <w14:solidFill>
              <w14:schemeClr w14:val="tx1"/>
            </w14:solidFill>
          </w14:textFill>
        </w:rPr>
        <w:t xml:space="preserve">     </w:t>
      </w:r>
      <w:r>
        <w:rPr>
          <w:rFonts w:hint="eastAsia" w:ascii="仿宋" w:hAnsi="仿宋" w:eastAsia="仿宋" w:cs="仿宋"/>
          <w:b/>
          <w:color w:val="000000" w:themeColor="text1"/>
          <w:sz w:val="30"/>
          <w:szCs w:val="30"/>
          <w14:textFill>
            <w14:solidFill>
              <w14:schemeClr w14:val="tx1"/>
            </w14:solidFill>
          </w14:textFill>
        </w:rPr>
        <w:t>复评</w:t>
      </w:r>
    </w:p>
    <w:p w14:paraId="1FD689F2">
      <w:pPr>
        <w:spacing w:line="720" w:lineRule="auto"/>
        <w:ind w:firstLine="643" w:firstLineChars="200"/>
        <w:jc w:val="left"/>
        <w:rPr>
          <w:rFonts w:hint="default" w:ascii="宋体" w:eastAsia="仿宋_GB2312"/>
          <w:b/>
          <w:color w:val="000000" w:themeColor="text1"/>
          <w:sz w:val="32"/>
          <w:szCs w:val="32"/>
          <w:u w:val="single"/>
          <w:lang w:val="en-US" w:eastAsia="zh-CN"/>
          <w14:textFill>
            <w14:solidFill>
              <w14:schemeClr w14:val="tx1"/>
            </w14:solidFill>
          </w14:textFill>
        </w:rPr>
      </w:pPr>
      <w:r>
        <w:rPr>
          <w:rFonts w:hint="eastAsia" w:ascii="宋体" w:hAnsi="宋体"/>
          <w:b/>
          <w:color w:val="000000" w:themeColor="text1"/>
          <w:sz w:val="32"/>
          <w:szCs w:val="32"/>
          <w:lang w:eastAsia="zh-CN"/>
          <w14:textFill>
            <w14:solidFill>
              <w14:schemeClr w14:val="tx1"/>
            </w14:solidFill>
          </w14:textFill>
        </w:rPr>
        <w:t>评价</w:t>
      </w:r>
      <w:r>
        <w:rPr>
          <w:rFonts w:hint="eastAsia" w:ascii="宋体" w:hAnsi="宋体"/>
          <w:b/>
          <w:color w:val="000000" w:themeColor="text1"/>
          <w:sz w:val="32"/>
          <w:szCs w:val="32"/>
          <w14:textFill>
            <w14:solidFill>
              <w14:schemeClr w14:val="tx1"/>
            </w14:solidFill>
          </w14:textFill>
        </w:rPr>
        <w:t>专家</w:t>
      </w:r>
      <w:r>
        <w:rPr>
          <w:rFonts w:hint="eastAsia" w:ascii="宋体" w:hAnsi="宋体"/>
          <w:b/>
          <w:color w:val="000000" w:themeColor="text1"/>
          <w:sz w:val="32"/>
          <w:szCs w:val="32"/>
          <w:lang w:eastAsia="zh-CN"/>
          <w14:textFill>
            <w14:solidFill>
              <w14:schemeClr w14:val="tx1"/>
            </w14:solidFill>
          </w14:textFill>
        </w:rPr>
        <w:t>（</w:t>
      </w:r>
      <w:r>
        <w:rPr>
          <w:rFonts w:hint="eastAsia" w:ascii="宋体" w:hAnsi="宋体"/>
          <w:b/>
          <w:color w:val="000000" w:themeColor="text1"/>
          <w:sz w:val="32"/>
          <w:szCs w:val="32"/>
          <w14:textFill>
            <w14:solidFill>
              <w14:schemeClr w14:val="tx1"/>
            </w14:solidFill>
          </w14:textFill>
        </w:rPr>
        <w:t>签名</w:t>
      </w:r>
      <w:r>
        <w:rPr>
          <w:rFonts w:hint="eastAsia" w:ascii="宋体" w:hAnsi="宋体"/>
          <w:b/>
          <w:color w:val="000000" w:themeColor="text1"/>
          <w:sz w:val="32"/>
          <w:szCs w:val="32"/>
          <w:lang w:eastAsia="zh-CN"/>
          <w14:textFill>
            <w14:solidFill>
              <w14:schemeClr w14:val="tx1"/>
            </w14:solidFill>
          </w14:textFill>
        </w:rPr>
        <w:t>）</w:t>
      </w:r>
      <w:r>
        <w:rPr>
          <w:rFonts w:hint="eastAsia" w:ascii="宋体" w:hAnsi="宋体"/>
          <w:b/>
          <w:color w:val="000000" w:themeColor="text1"/>
          <w:sz w:val="32"/>
          <w:szCs w:val="32"/>
          <w14:textFill>
            <w14:solidFill>
              <w14:schemeClr w14:val="tx1"/>
            </w14:solidFill>
          </w14:textFill>
        </w:rPr>
        <w:t>组长：</w:t>
      </w:r>
      <w:r>
        <w:rPr>
          <w:rFonts w:hint="eastAsia" w:ascii="宋体" w:hAnsi="宋体"/>
          <w:b/>
          <w:color w:val="000000" w:themeColor="text1"/>
          <w:sz w:val="32"/>
          <w:szCs w:val="32"/>
          <w:u w:val="single"/>
          <w:lang w:val="en-US" w:eastAsia="zh-CN"/>
          <w14:textFill>
            <w14:solidFill>
              <w14:schemeClr w14:val="tx1"/>
            </w14:solidFill>
          </w14:textFill>
        </w:rPr>
        <w:t xml:space="preserve">                 </w:t>
      </w:r>
    </w:p>
    <w:p w14:paraId="0476BF04">
      <w:pPr>
        <w:keepNext w:val="0"/>
        <w:keepLines w:val="0"/>
        <w:pageBreakBefore w:val="0"/>
        <w:widowControl w:val="0"/>
        <w:kinsoku/>
        <w:wordWrap/>
        <w:overflowPunct/>
        <w:topLinePunct w:val="0"/>
        <w:autoSpaceDE/>
        <w:autoSpaceDN/>
        <w:bidi w:val="0"/>
        <w:adjustRightInd/>
        <w:snapToGrid/>
        <w:spacing w:line="360" w:lineRule="auto"/>
        <w:ind w:firstLine="3213" w:firstLineChars="1000"/>
        <w:textAlignment w:val="auto"/>
        <w:rPr>
          <w:rFonts w:hint="default" w:ascii="宋体" w:eastAsia="仿宋_GB2312"/>
          <w:b/>
          <w:color w:val="000000" w:themeColor="text1"/>
          <w:sz w:val="32"/>
          <w:szCs w:val="32"/>
          <w:u w:val="single"/>
          <w:lang w:val="en-US" w:eastAsia="zh-CN"/>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组员：</w:t>
      </w:r>
      <w:r>
        <w:rPr>
          <w:rFonts w:hint="eastAsia" w:ascii="宋体" w:hAnsi="宋体"/>
          <w:b/>
          <w:color w:val="000000" w:themeColor="text1"/>
          <w:sz w:val="32"/>
          <w:szCs w:val="32"/>
          <w:u w:val="single"/>
          <w:lang w:val="en-US" w:eastAsia="zh-CN"/>
          <w14:textFill>
            <w14:solidFill>
              <w14:schemeClr w14:val="tx1"/>
            </w14:solidFill>
          </w14:textFill>
        </w:rPr>
        <w:t xml:space="preserve">                                         </w:t>
      </w:r>
    </w:p>
    <w:p w14:paraId="6C46FA94">
      <w:pPr>
        <w:spacing w:line="720" w:lineRule="auto"/>
        <w:ind w:firstLine="643" w:firstLineChars="200"/>
        <w:rPr>
          <w:rFonts w:hint="default" w:ascii="宋体" w:hAnsi="宋体" w:eastAsia="仿宋_GB2312"/>
          <w:b/>
          <w:color w:val="000000" w:themeColor="text1"/>
          <w:sz w:val="32"/>
          <w:szCs w:val="32"/>
          <w:lang w:val="en-US" w:eastAsia="zh-CN"/>
          <w14:textFill>
            <w14:solidFill>
              <w14:schemeClr w14:val="tx1"/>
            </w14:solidFill>
          </w14:textFill>
        </w:rPr>
      </w:pPr>
      <w:r>
        <w:rPr>
          <w:rFonts w:hint="eastAsia" w:ascii="宋体" w:hAnsi="宋体"/>
          <w:b/>
          <w:color w:val="000000" w:themeColor="text1"/>
          <w:sz w:val="32"/>
          <w:szCs w:val="32"/>
          <w:lang w:eastAsia="zh-CN"/>
          <w14:textFill>
            <w14:solidFill>
              <w14:schemeClr w14:val="tx1"/>
            </w14:solidFill>
          </w14:textFill>
        </w:rPr>
        <w:t>评价</w:t>
      </w:r>
      <w:r>
        <w:rPr>
          <w:rFonts w:hint="eastAsia" w:ascii="宋体" w:hAnsi="宋体"/>
          <w:b/>
          <w:color w:val="000000" w:themeColor="text1"/>
          <w:sz w:val="32"/>
          <w:szCs w:val="32"/>
          <w14:textFill>
            <w14:solidFill>
              <w14:schemeClr w14:val="tx1"/>
            </w14:solidFill>
          </w14:textFill>
        </w:rPr>
        <w:t>日期：</w:t>
      </w:r>
      <w:r>
        <w:rPr>
          <w:rFonts w:hint="eastAsia" w:ascii="宋体" w:hAnsi="宋体"/>
          <w:b/>
          <w:color w:val="000000" w:themeColor="text1"/>
          <w:sz w:val="32"/>
          <w:szCs w:val="32"/>
          <w:u w:val="single"/>
          <w:lang w:val="en-US" w:eastAsia="zh-CN"/>
          <w14:textFill>
            <w14:solidFill>
              <w14:schemeClr w14:val="tx1"/>
            </w14:solidFill>
          </w14:textFill>
        </w:rPr>
        <w:t xml:space="preserve">    </w:t>
      </w:r>
      <w:r>
        <w:rPr>
          <w:rFonts w:hint="eastAsia" w:ascii="宋体" w:hAnsi="宋体"/>
          <w:b/>
          <w:color w:val="000000" w:themeColor="text1"/>
          <w:sz w:val="32"/>
          <w:szCs w:val="32"/>
          <w:lang w:val="en-US" w:eastAsia="zh-CN"/>
          <w14:textFill>
            <w14:solidFill>
              <w14:schemeClr w14:val="tx1"/>
            </w14:solidFill>
          </w14:textFill>
        </w:rPr>
        <w:t>年</w:t>
      </w:r>
      <w:r>
        <w:rPr>
          <w:rFonts w:hint="eastAsia" w:ascii="宋体" w:hAnsi="宋体"/>
          <w:b/>
          <w:color w:val="000000" w:themeColor="text1"/>
          <w:sz w:val="32"/>
          <w:szCs w:val="32"/>
          <w:u w:val="single"/>
          <w:lang w:val="en-US" w:eastAsia="zh-CN"/>
          <w14:textFill>
            <w14:solidFill>
              <w14:schemeClr w14:val="tx1"/>
            </w14:solidFill>
          </w14:textFill>
        </w:rPr>
        <w:t xml:space="preserve">   </w:t>
      </w:r>
      <w:r>
        <w:rPr>
          <w:rFonts w:hint="eastAsia" w:ascii="宋体" w:hAnsi="宋体"/>
          <w:b/>
          <w:color w:val="000000" w:themeColor="text1"/>
          <w:sz w:val="32"/>
          <w:szCs w:val="32"/>
          <w:lang w:val="en-US" w:eastAsia="zh-CN"/>
          <w14:textFill>
            <w14:solidFill>
              <w14:schemeClr w14:val="tx1"/>
            </w14:solidFill>
          </w14:textFill>
        </w:rPr>
        <w:t>月</w:t>
      </w:r>
      <w:r>
        <w:rPr>
          <w:rFonts w:hint="eastAsia" w:ascii="宋体" w:hAnsi="宋体"/>
          <w:b/>
          <w:color w:val="000000" w:themeColor="text1"/>
          <w:sz w:val="32"/>
          <w:szCs w:val="32"/>
          <w:u w:val="single"/>
          <w:lang w:val="en-US" w:eastAsia="zh-CN"/>
          <w14:textFill>
            <w14:solidFill>
              <w14:schemeClr w14:val="tx1"/>
            </w14:solidFill>
          </w14:textFill>
        </w:rPr>
        <w:t xml:space="preserve">   </w:t>
      </w:r>
      <w:r>
        <w:rPr>
          <w:rFonts w:hint="eastAsia" w:ascii="宋体" w:hAnsi="宋体"/>
          <w:b/>
          <w:color w:val="000000" w:themeColor="text1"/>
          <w:sz w:val="32"/>
          <w:szCs w:val="32"/>
          <w:lang w:val="en-US" w:eastAsia="zh-CN"/>
          <w14:textFill>
            <w14:solidFill>
              <w14:schemeClr w14:val="tx1"/>
            </w14:solidFill>
          </w14:textFill>
        </w:rPr>
        <w:t>日</w:t>
      </w:r>
    </w:p>
    <w:p w14:paraId="5F1AD6FA">
      <w:pPr>
        <w:spacing w:line="360" w:lineRule="auto"/>
        <w:rPr>
          <w:rFonts w:ascii="宋体" w:hAnsi="宋体" w:eastAsia="宋体"/>
          <w:b/>
          <w:color w:val="000000" w:themeColor="text1"/>
          <w:sz w:val="24"/>
          <w:szCs w:val="24"/>
          <w14:textFill>
            <w14:solidFill>
              <w14:schemeClr w14:val="tx1"/>
            </w14:solidFill>
          </w14:textFill>
        </w:rPr>
      </w:pPr>
    </w:p>
    <w:p w14:paraId="198800A7">
      <w:pPr>
        <w:jc w:val="center"/>
        <w:rPr>
          <w:b/>
          <w:color w:val="000000" w:themeColor="text1"/>
          <w:sz w:val="30"/>
          <w:szCs w:val="30"/>
          <w14:textFill>
            <w14:solidFill>
              <w14:schemeClr w14:val="tx1"/>
            </w14:solidFill>
          </w14:textFill>
        </w:rPr>
      </w:pPr>
      <w:r>
        <w:rPr>
          <w:rFonts w:hint="eastAsia"/>
          <w:b/>
          <w:color w:val="000000" w:themeColor="text1"/>
          <w:sz w:val="30"/>
          <w:szCs w:val="30"/>
          <w14:textFill>
            <w14:solidFill>
              <w14:schemeClr w14:val="tx1"/>
            </w14:solidFill>
          </w14:textFill>
        </w:rPr>
        <w:t>佛山市顺德区市政建设工程协会制</w:t>
      </w:r>
    </w:p>
    <w:p w14:paraId="5E0E1C8E">
      <w:pPr>
        <w:spacing w:line="360" w:lineRule="auto"/>
        <w:jc w:val="center"/>
        <w:rPr>
          <w:rFonts w:ascii="宋体" w:hAnsi="宋体" w:eastAsia="宋体"/>
          <w:b/>
          <w:color w:val="000000" w:themeColor="text1"/>
          <w:sz w:val="30"/>
          <w:szCs w:val="30"/>
          <w14:textFill>
            <w14:solidFill>
              <w14:schemeClr w14:val="tx1"/>
            </w14:solidFill>
          </w14:textFill>
        </w:rPr>
        <w:sectPr>
          <w:headerReference r:id="rId3" w:type="default"/>
          <w:footerReference r:id="rId4" w:type="default"/>
          <w:pgSz w:w="11906" w:h="16838"/>
          <w:pgMar w:top="1276" w:right="1416" w:bottom="1440" w:left="1276" w:header="851" w:footer="992" w:gutter="0"/>
          <w:cols w:space="720" w:num="1"/>
          <w:docGrid w:type="lines" w:linePitch="435" w:charSpace="0"/>
        </w:sectPr>
      </w:pPr>
    </w:p>
    <w:p w14:paraId="254B434D">
      <w:pPr>
        <w:pStyle w:val="15"/>
        <w:rPr>
          <w:rFonts w:hint="eastAsia" w:ascii="方正小标宋_GBK" w:eastAsia="方正小标宋_GBK"/>
          <w:b w:val="0"/>
          <w:bCs w:val="0"/>
          <w:color w:val="000000" w:themeColor="text1"/>
          <w:spacing w:val="40"/>
          <w:sz w:val="40"/>
          <w:szCs w:val="40"/>
          <w14:textFill>
            <w14:solidFill>
              <w14:schemeClr w14:val="tx1"/>
            </w14:solidFill>
          </w14:textFill>
        </w:rPr>
      </w:pPr>
      <w:bookmarkStart w:id="0" w:name="_Hlk39653723"/>
      <w:r>
        <w:rPr>
          <w:rFonts w:hint="eastAsia" w:ascii="方正小标宋_GBK" w:eastAsia="方正小标宋_GBK"/>
          <w:b w:val="0"/>
          <w:bCs w:val="0"/>
          <w:color w:val="000000" w:themeColor="text1"/>
          <w:spacing w:val="40"/>
          <w:sz w:val="40"/>
          <w:szCs w:val="40"/>
          <w14:textFill>
            <w14:solidFill>
              <w14:schemeClr w14:val="tx1"/>
            </w14:solidFill>
          </w14:textFill>
        </w:rPr>
        <w:t>填表须知</w:t>
      </w:r>
    </w:p>
    <w:p w14:paraId="309B788D">
      <w:pPr>
        <w:rPr>
          <w:color w:val="000000" w:themeColor="text1"/>
          <w14:textFill>
            <w14:solidFill>
              <w14:schemeClr w14:val="tx1"/>
            </w14:solidFill>
          </w14:textFill>
        </w:rPr>
      </w:pPr>
    </w:p>
    <w:p w14:paraId="3519E71F">
      <w:pPr>
        <w:keepNext w:val="0"/>
        <w:keepLines w:val="0"/>
        <w:pageBreakBefore w:val="0"/>
        <w:widowControl w:val="0"/>
        <w:numPr>
          <w:ilvl w:val="0"/>
          <w:numId w:val="1"/>
        </w:numPr>
        <w:kinsoku/>
        <w:wordWrap/>
        <w:overflowPunct/>
        <w:topLinePunct w:val="0"/>
        <w:autoSpaceDE/>
        <w:autoSpaceDN/>
        <w:bidi w:val="0"/>
        <w:adjustRightInd/>
        <w:snapToGrid/>
        <w:spacing w:line="720" w:lineRule="auto"/>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自评分表与专家评分表合二为一。</w:t>
      </w:r>
    </w:p>
    <w:p w14:paraId="4275D200">
      <w:pPr>
        <w:keepNext w:val="0"/>
        <w:keepLines w:val="0"/>
        <w:pageBreakBefore w:val="0"/>
        <w:widowControl w:val="0"/>
        <w:numPr>
          <w:ilvl w:val="0"/>
          <w:numId w:val="1"/>
        </w:numPr>
        <w:kinsoku/>
        <w:wordWrap/>
        <w:overflowPunct/>
        <w:topLinePunct w:val="0"/>
        <w:autoSpaceDE/>
        <w:autoSpaceDN/>
        <w:bidi w:val="0"/>
        <w:adjustRightInd/>
        <w:snapToGrid/>
        <w:spacing w:line="720" w:lineRule="auto"/>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请申报单位在专家现场评价前，</w:t>
      </w:r>
      <w:r>
        <w:rPr>
          <w:rFonts w:hint="eastAsia"/>
          <w:color w:val="000000" w:themeColor="text1"/>
          <w:lang w:val="en-US" w:eastAsia="zh-CN"/>
          <w14:textFill>
            <w14:solidFill>
              <w14:schemeClr w14:val="tx1"/>
            </w14:solidFill>
          </w14:textFill>
        </w:rPr>
        <w:t>按要求对现场组织检查，</w:t>
      </w:r>
      <w:r>
        <w:rPr>
          <w:rFonts w:hint="eastAsia"/>
          <w:color w:val="000000" w:themeColor="text1"/>
          <w:lang w:val="zh-CN"/>
          <w14:textFill>
            <w14:solidFill>
              <w14:schemeClr w14:val="tx1"/>
            </w14:solidFill>
          </w14:textFill>
        </w:rPr>
        <w:t>完成自检评分（</w:t>
      </w:r>
      <w:r>
        <w:rPr>
          <w:rFonts w:hint="eastAsia"/>
          <w:color w:val="000000" w:themeColor="text1"/>
          <w:lang w:val="en-US" w:eastAsia="zh-CN"/>
          <w14:textFill>
            <w14:solidFill>
              <w14:schemeClr w14:val="tx1"/>
            </w14:solidFill>
          </w14:textFill>
        </w:rPr>
        <w:t>请手写</w:t>
      </w:r>
      <w:r>
        <w:rPr>
          <w:rFonts w:hint="eastAsia"/>
          <w:color w:val="000000" w:themeColor="text1"/>
          <w:lang w:val="zh-CN"/>
          <w14:textFill>
            <w14:solidFill>
              <w14:schemeClr w14:val="tx1"/>
            </w14:solidFill>
          </w14:textFill>
        </w:rPr>
        <w:t>），专家评分栏留白，提交协会。</w:t>
      </w:r>
    </w:p>
    <w:p w14:paraId="4707CF02">
      <w:pPr>
        <w:keepNext w:val="0"/>
        <w:keepLines w:val="0"/>
        <w:pageBreakBefore w:val="0"/>
        <w:widowControl w:val="0"/>
        <w:numPr>
          <w:ilvl w:val="0"/>
          <w:numId w:val="1"/>
        </w:numPr>
        <w:kinsoku/>
        <w:wordWrap/>
        <w:overflowPunct/>
        <w:topLinePunct w:val="0"/>
        <w:autoSpaceDE/>
        <w:autoSpaceDN/>
        <w:bidi w:val="0"/>
        <w:adjustRightInd/>
        <w:snapToGrid/>
        <w:spacing w:line="720" w:lineRule="auto"/>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《市政工程施工安全分项检查评分表》中未涉及的项目，请在目录清单中注明</w:t>
      </w:r>
      <w:r>
        <w:rPr>
          <w:rFonts w:hint="eastAsia"/>
          <w:b w:val="0"/>
          <w:bCs w:val="0"/>
          <w:color w:val="000000" w:themeColor="text1"/>
          <w:u w:val="none"/>
          <w:lang w:val="zh-CN"/>
          <w14:textFill>
            <w14:solidFill>
              <w14:schemeClr w14:val="tx1"/>
            </w14:solidFill>
          </w14:textFill>
        </w:rPr>
        <w:t>未涉及</w:t>
      </w:r>
      <w:r>
        <w:rPr>
          <w:rFonts w:hint="eastAsia"/>
          <w:color w:val="000000" w:themeColor="text1"/>
          <w:lang w:val="zh-CN"/>
          <w14:textFill>
            <w14:solidFill>
              <w14:schemeClr w14:val="tx1"/>
            </w14:solidFill>
          </w14:textFill>
        </w:rPr>
        <w:t>并自行将对应表格删除。</w:t>
      </w:r>
    </w:p>
    <w:p w14:paraId="48E6FF08">
      <w:pPr>
        <w:keepNext w:val="0"/>
        <w:keepLines w:val="0"/>
        <w:pageBreakBefore w:val="0"/>
        <w:widowControl w:val="0"/>
        <w:numPr>
          <w:ilvl w:val="0"/>
          <w:numId w:val="1"/>
        </w:numPr>
        <w:kinsoku/>
        <w:wordWrap/>
        <w:overflowPunct/>
        <w:topLinePunct w:val="0"/>
        <w:autoSpaceDE/>
        <w:autoSpaceDN/>
        <w:bidi w:val="0"/>
        <w:adjustRightInd/>
        <w:snapToGrid/>
        <w:spacing w:line="720" w:lineRule="auto"/>
        <w:textAlignment w:val="auto"/>
        <w:rPr>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《市政工程施工安全分项检查评分表》的各项得分按权重在《</w:t>
      </w:r>
      <w:r>
        <w:rPr>
          <w:rFonts w:hint="eastAsia"/>
          <w:color w:val="000000" w:themeColor="text1"/>
          <w:lang w:val="en-US" w:eastAsia="zh-CN"/>
          <w14:textFill>
            <w14:solidFill>
              <w14:schemeClr w14:val="tx1"/>
            </w14:solidFill>
          </w14:textFill>
        </w:rPr>
        <w:t>佛山市顺德区市政工程安全生产文明施工示范项目评价</w:t>
      </w:r>
      <w:r>
        <w:rPr>
          <w:rFonts w:hint="eastAsia"/>
          <w:color w:val="000000" w:themeColor="text1"/>
          <w:lang w:val="zh-CN"/>
          <w14:textFill>
            <w14:solidFill>
              <w14:schemeClr w14:val="tx1"/>
            </w14:solidFill>
          </w14:textFill>
        </w:rPr>
        <w:t>汇总表》计算汇总。</w:t>
      </w:r>
    </w:p>
    <w:p w14:paraId="5A47218D">
      <w:pPr>
        <w:pStyle w:val="15"/>
        <w:keepNext w:val="0"/>
        <w:keepLines w:val="0"/>
        <w:pageBreakBefore w:val="0"/>
        <w:widowControl w:val="0"/>
        <w:kinsoku/>
        <w:wordWrap/>
        <w:overflowPunct/>
        <w:topLinePunct w:val="0"/>
        <w:autoSpaceDE/>
        <w:autoSpaceDN/>
        <w:bidi w:val="0"/>
        <w:adjustRightInd/>
        <w:snapToGrid/>
        <w:spacing w:line="720" w:lineRule="auto"/>
        <w:textAlignment w:val="auto"/>
        <w:rPr>
          <w:color w:val="000000" w:themeColor="text1"/>
          <w14:textFill>
            <w14:solidFill>
              <w14:schemeClr w14:val="tx1"/>
            </w14:solidFill>
          </w14:textFill>
        </w:rPr>
      </w:pPr>
      <w:r>
        <w:rPr>
          <w:color w:val="000000" w:themeColor="text1"/>
          <w14:textFill>
            <w14:solidFill>
              <w14:schemeClr w14:val="tx1"/>
            </w14:solidFill>
          </w14:textFill>
        </w:rPr>
        <w:br w:type="page"/>
      </w:r>
    </w:p>
    <w:p w14:paraId="58D7C195">
      <w:pPr>
        <w:pStyle w:val="38"/>
        <w:spacing w:line="276" w:lineRule="auto"/>
        <w:jc w:val="center"/>
        <w:rPr>
          <w:rFonts w:hint="eastAsia" w:ascii="等线 Light" w:hAnsi="等线 Light" w:eastAsia="宋体" w:cs="Times New Roman"/>
          <w:b/>
          <w:bCs/>
          <w:color w:val="000000" w:themeColor="text1"/>
          <w:kern w:val="2"/>
          <w:sz w:val="28"/>
          <w:szCs w:val="28"/>
          <w:lang w:val="en-US" w:eastAsia="zh-CN" w:bidi="ar-SA"/>
          <w14:textFill>
            <w14:solidFill>
              <w14:schemeClr w14:val="tx1"/>
            </w14:solidFill>
          </w14:textFill>
        </w:rPr>
      </w:pPr>
      <w:r>
        <w:rPr>
          <w:rFonts w:hint="eastAsia" w:ascii="方正小标宋简体" w:hAnsi="方正小标宋简体" w:eastAsia="方正小标宋简体" w:cs="方正小标宋简体"/>
          <w:b/>
          <w:bCs/>
          <w:color w:val="000000" w:themeColor="text1"/>
          <w:kern w:val="2"/>
          <w:sz w:val="32"/>
          <w:szCs w:val="32"/>
          <w:lang w:val="en-US" w:eastAsia="zh-CN" w:bidi="ar-SA"/>
          <w14:textFill>
            <w14:solidFill>
              <w14:schemeClr w14:val="tx1"/>
            </w14:solidFill>
          </w14:textFill>
        </w:rPr>
        <w:t>《市政工程施工安全分项检查评分表》</w:t>
      </w:r>
      <w:r>
        <w:rPr>
          <w:rFonts w:hint="eastAsia" w:ascii="方正小标宋简体" w:hAnsi="方正小标宋简体" w:eastAsia="方正小标宋简体" w:cs="方正小标宋简体"/>
          <w:b/>
          <w:bCs/>
          <w:color w:val="000000" w:themeColor="text1"/>
          <w:kern w:val="2"/>
          <w:sz w:val="32"/>
          <w:szCs w:val="32"/>
          <w:lang w:val="zh-CN" w:eastAsia="zh-CN" w:bidi="ar-SA"/>
          <w14:textFill>
            <w14:solidFill>
              <w14:schemeClr w14:val="tx1"/>
            </w14:solidFill>
          </w14:textFill>
        </w:rPr>
        <w:t>目录清单</w:t>
      </w:r>
    </w:p>
    <w:tbl>
      <w:tblPr>
        <w:tblStyle w:val="17"/>
        <w:tblpPr w:leftFromText="180" w:rightFromText="180" w:vertAnchor="text" w:horzAnchor="page" w:tblpXSpec="center" w:tblpY="63"/>
        <w:tblW w:w="7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4253"/>
        <w:gridCol w:w="1939"/>
      </w:tblGrid>
      <w:tr w14:paraId="0CD6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384" w:type="dxa"/>
            <w:shd w:val="clear" w:color="auto" w:fill="auto"/>
            <w:vAlign w:val="center"/>
          </w:tcPr>
          <w:p w14:paraId="496F4B9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Calibri" w:hAnsi="Calibri"/>
                <w:color w:val="000000" w:themeColor="text1"/>
                <w:sz w:val="24"/>
                <w14:textFill>
                  <w14:solidFill>
                    <w14:schemeClr w14:val="tx1"/>
                  </w14:solidFill>
                </w14:textFill>
              </w:rPr>
            </w:pPr>
            <w:r>
              <w:rPr>
                <w:rFonts w:hint="eastAsia" w:ascii="Calibri" w:hAnsi="Calibri"/>
                <w:color w:val="000000" w:themeColor="text1"/>
                <w:sz w:val="24"/>
                <w14:textFill>
                  <w14:solidFill>
                    <w14:schemeClr w14:val="tx1"/>
                  </w14:solidFill>
                </w14:textFill>
              </w:rPr>
              <w:t>序号</w:t>
            </w:r>
          </w:p>
        </w:tc>
        <w:tc>
          <w:tcPr>
            <w:tcW w:w="4253" w:type="dxa"/>
            <w:shd w:val="clear" w:color="auto" w:fill="auto"/>
            <w:vAlign w:val="center"/>
          </w:tcPr>
          <w:p w14:paraId="624FD28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Calibri" w:hAnsi="Calibri"/>
                <w:color w:val="000000" w:themeColor="text1"/>
                <w:sz w:val="24"/>
                <w14:textFill>
                  <w14:solidFill>
                    <w14:schemeClr w14:val="tx1"/>
                  </w14:solidFill>
                </w14:textFill>
              </w:rPr>
            </w:pPr>
            <w:r>
              <w:rPr>
                <w:rFonts w:hint="eastAsia" w:ascii="Calibri" w:hAnsi="Calibri"/>
                <w:color w:val="000000" w:themeColor="text1"/>
                <w:sz w:val="24"/>
                <w14:textFill>
                  <w14:solidFill>
                    <w14:schemeClr w14:val="tx1"/>
                  </w14:solidFill>
                </w14:textFill>
              </w:rPr>
              <w:t>项目</w:t>
            </w:r>
          </w:p>
        </w:tc>
        <w:tc>
          <w:tcPr>
            <w:tcW w:w="1939" w:type="dxa"/>
            <w:shd w:val="clear" w:color="auto" w:fill="auto"/>
            <w:vAlign w:val="center"/>
          </w:tcPr>
          <w:p w14:paraId="5416087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Calibri" w:hAnsi="Calibri"/>
                <w:color w:val="000000" w:themeColor="text1"/>
                <w:sz w:val="24"/>
                <w14:textFill>
                  <w14:solidFill>
                    <w14:schemeClr w14:val="tx1"/>
                  </w14:solidFill>
                </w14:textFill>
              </w:rPr>
            </w:pPr>
            <w:r>
              <w:rPr>
                <w:rFonts w:hint="eastAsia" w:ascii="Calibri" w:hAnsi="Calibri"/>
                <w:color w:val="000000" w:themeColor="text1"/>
                <w:sz w:val="24"/>
                <w14:textFill>
                  <w14:solidFill>
                    <w14:schemeClr w14:val="tx1"/>
                  </w14:solidFill>
                </w14:textFill>
              </w:rPr>
              <w:t>是否涉及</w:t>
            </w:r>
          </w:p>
        </w:tc>
      </w:tr>
      <w:tr w14:paraId="4845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rPr>
        <w:tc>
          <w:tcPr>
            <w:tcW w:w="1384" w:type="dxa"/>
            <w:shd w:val="clear" w:color="auto" w:fill="auto"/>
            <w:vAlign w:val="center"/>
          </w:tcPr>
          <w:p w14:paraId="7814E0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w:t>
            </w:r>
          </w:p>
        </w:tc>
        <w:tc>
          <w:tcPr>
            <w:tcW w:w="4253" w:type="dxa"/>
            <w:shd w:val="clear" w:color="auto" w:fill="auto"/>
            <w:vAlign w:val="center"/>
          </w:tcPr>
          <w:p w14:paraId="43787DB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安全管理检查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3DE580A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21073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384" w:type="dxa"/>
            <w:shd w:val="clear" w:color="auto" w:fill="auto"/>
            <w:vAlign w:val="center"/>
          </w:tcPr>
          <w:p w14:paraId="582D5D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w:t>
            </w:r>
          </w:p>
        </w:tc>
        <w:tc>
          <w:tcPr>
            <w:tcW w:w="4253" w:type="dxa"/>
            <w:shd w:val="clear" w:color="auto" w:fill="auto"/>
            <w:vAlign w:val="center"/>
          </w:tcPr>
          <w:p w14:paraId="1D25A42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文明施工检查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5000624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66C2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4" w:type="dxa"/>
            <w:shd w:val="clear" w:color="auto" w:fill="auto"/>
            <w:vAlign w:val="center"/>
          </w:tcPr>
          <w:p w14:paraId="3C6438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3</w:t>
            </w:r>
          </w:p>
        </w:tc>
        <w:tc>
          <w:tcPr>
            <w:tcW w:w="4253" w:type="dxa"/>
            <w:shd w:val="clear" w:color="auto" w:fill="auto"/>
            <w:vAlign w:val="center"/>
          </w:tcPr>
          <w:p w14:paraId="67F40C9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高处作业检查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68B7136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4F32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384" w:type="dxa"/>
            <w:shd w:val="clear" w:color="auto" w:fill="auto"/>
            <w:vAlign w:val="center"/>
          </w:tcPr>
          <w:p w14:paraId="205E06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表4</w:t>
            </w:r>
          </w:p>
        </w:tc>
        <w:tc>
          <w:tcPr>
            <w:tcW w:w="4253" w:type="dxa"/>
            <w:shd w:val="clear" w:color="auto" w:fill="auto"/>
            <w:vAlign w:val="center"/>
          </w:tcPr>
          <w:p w14:paraId="799F99D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施工用电检查评分</w:t>
            </w:r>
          </w:p>
        </w:tc>
        <w:tc>
          <w:tcPr>
            <w:tcW w:w="1939" w:type="dxa"/>
            <w:shd w:val="clear" w:color="auto" w:fill="auto"/>
            <w:vAlign w:val="center"/>
          </w:tcPr>
          <w:p w14:paraId="2B286DD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7661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384" w:type="dxa"/>
            <w:shd w:val="clear" w:color="auto" w:fill="auto"/>
            <w:vAlign w:val="center"/>
          </w:tcPr>
          <w:p w14:paraId="6AA38F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lang w:val="zh-CN" w:eastAsia="zh-CN"/>
                <w14:textFill>
                  <w14:solidFill>
                    <w14:schemeClr w14:val="tx1"/>
                  </w14:solidFill>
                </w14:textFill>
              </w:rPr>
              <w:t>表5</w:t>
            </w:r>
          </w:p>
        </w:tc>
        <w:tc>
          <w:tcPr>
            <w:tcW w:w="4253" w:type="dxa"/>
            <w:shd w:val="clear" w:color="auto" w:fill="auto"/>
            <w:vAlign w:val="center"/>
          </w:tcPr>
          <w:p w14:paraId="1A70386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lang w:val="zh-CN" w:eastAsia="zh-CN"/>
                <w14:textFill>
                  <w14:solidFill>
                    <w14:schemeClr w14:val="tx1"/>
                  </w14:solidFill>
                </w14:textFill>
              </w:rPr>
              <w:t>施工机具检查评分表</w:t>
            </w:r>
          </w:p>
        </w:tc>
        <w:tc>
          <w:tcPr>
            <w:tcW w:w="1939" w:type="dxa"/>
            <w:shd w:val="clear" w:color="auto" w:fill="auto"/>
            <w:vAlign w:val="center"/>
          </w:tcPr>
          <w:p w14:paraId="084D05F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51E6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384" w:type="dxa"/>
            <w:shd w:val="clear" w:color="auto" w:fill="auto"/>
            <w:vAlign w:val="center"/>
          </w:tcPr>
          <w:p w14:paraId="5D2C82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6</w:t>
            </w:r>
          </w:p>
        </w:tc>
        <w:tc>
          <w:tcPr>
            <w:tcW w:w="4253" w:type="dxa"/>
            <w:shd w:val="clear" w:color="auto" w:fill="auto"/>
            <w:vAlign w:val="center"/>
          </w:tcPr>
          <w:p w14:paraId="71CF504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基坑检查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683C86E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1801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1384" w:type="dxa"/>
            <w:shd w:val="clear" w:color="auto" w:fill="auto"/>
            <w:vAlign w:val="center"/>
          </w:tcPr>
          <w:p w14:paraId="1CBA38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7</w:t>
            </w:r>
          </w:p>
        </w:tc>
        <w:tc>
          <w:tcPr>
            <w:tcW w:w="4253" w:type="dxa"/>
            <w:shd w:val="clear" w:color="auto" w:fill="auto"/>
            <w:vAlign w:val="center"/>
          </w:tcPr>
          <w:p w14:paraId="46EA804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钢围堰检查评分表</w:t>
            </w:r>
          </w:p>
        </w:tc>
        <w:tc>
          <w:tcPr>
            <w:tcW w:w="1939" w:type="dxa"/>
            <w:shd w:val="clear" w:color="auto" w:fill="auto"/>
            <w:vAlign w:val="center"/>
          </w:tcPr>
          <w:p w14:paraId="613F7881">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296EE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384" w:type="dxa"/>
            <w:shd w:val="clear" w:color="auto" w:fill="auto"/>
            <w:vAlign w:val="center"/>
          </w:tcPr>
          <w:p w14:paraId="359119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8</w:t>
            </w:r>
          </w:p>
        </w:tc>
        <w:tc>
          <w:tcPr>
            <w:tcW w:w="4253" w:type="dxa"/>
            <w:shd w:val="clear" w:color="auto" w:fill="auto"/>
            <w:vAlign w:val="center"/>
          </w:tcPr>
          <w:p w14:paraId="65FE463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土石围堰检查评分表</w:t>
            </w:r>
          </w:p>
        </w:tc>
        <w:tc>
          <w:tcPr>
            <w:tcW w:w="1939" w:type="dxa"/>
            <w:shd w:val="clear" w:color="auto" w:fill="auto"/>
            <w:vAlign w:val="center"/>
          </w:tcPr>
          <w:p w14:paraId="710B0B6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68E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384" w:type="dxa"/>
            <w:shd w:val="clear" w:color="auto" w:fill="auto"/>
            <w:vAlign w:val="center"/>
          </w:tcPr>
          <w:p w14:paraId="70C30B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9</w:t>
            </w:r>
          </w:p>
        </w:tc>
        <w:tc>
          <w:tcPr>
            <w:tcW w:w="4253" w:type="dxa"/>
            <w:shd w:val="clear" w:color="auto" w:fill="auto"/>
            <w:vAlign w:val="center"/>
          </w:tcPr>
          <w:p w14:paraId="7661182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沉井检查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61EA9C6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2F9CE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384" w:type="dxa"/>
            <w:shd w:val="clear" w:color="auto" w:fill="auto"/>
            <w:vAlign w:val="center"/>
          </w:tcPr>
          <w:p w14:paraId="3508E5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10</w:t>
            </w:r>
          </w:p>
        </w:tc>
        <w:tc>
          <w:tcPr>
            <w:tcW w:w="4253" w:type="dxa"/>
            <w:shd w:val="clear" w:color="auto" w:fill="auto"/>
            <w:vAlign w:val="center"/>
          </w:tcPr>
          <w:p w14:paraId="0C38255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人工挖孔桩检查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7CDF881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62262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84" w:type="dxa"/>
            <w:shd w:val="clear" w:color="auto" w:fill="auto"/>
            <w:vAlign w:val="center"/>
          </w:tcPr>
          <w:p w14:paraId="699208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w:t>
            </w:r>
            <w:r>
              <w:rPr>
                <w:rFonts w:ascii="仿宋" w:hAnsi="仿宋" w:eastAsia="仿宋"/>
                <w:color w:val="000000" w:themeColor="text1"/>
                <w:sz w:val="21"/>
                <w:szCs w:val="21"/>
                <w14:textFill>
                  <w14:solidFill>
                    <w14:schemeClr w14:val="tx1"/>
                  </w14:solidFill>
                </w14:textFill>
              </w:rPr>
              <w:t>1</w:t>
            </w:r>
          </w:p>
        </w:tc>
        <w:tc>
          <w:tcPr>
            <w:tcW w:w="4253" w:type="dxa"/>
            <w:shd w:val="clear" w:color="auto" w:fill="auto"/>
            <w:vAlign w:val="center"/>
          </w:tcPr>
          <w:p w14:paraId="28E6F2A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钢管双排脚手架检查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7DE304ED">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3954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384" w:type="dxa"/>
            <w:shd w:val="clear" w:color="auto" w:fill="auto"/>
            <w:vAlign w:val="center"/>
          </w:tcPr>
          <w:p w14:paraId="3630EC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w:t>
            </w:r>
            <w:r>
              <w:rPr>
                <w:rFonts w:ascii="仿宋" w:hAnsi="仿宋" w:eastAsia="仿宋"/>
                <w:color w:val="000000" w:themeColor="text1"/>
                <w:sz w:val="21"/>
                <w:szCs w:val="21"/>
                <w14:textFill>
                  <w14:solidFill>
                    <w14:schemeClr w14:val="tx1"/>
                  </w14:solidFill>
                </w14:textFill>
              </w:rPr>
              <w:t>2</w:t>
            </w:r>
          </w:p>
        </w:tc>
        <w:tc>
          <w:tcPr>
            <w:tcW w:w="4253" w:type="dxa"/>
            <w:shd w:val="clear" w:color="auto" w:fill="auto"/>
            <w:vAlign w:val="center"/>
          </w:tcPr>
          <w:p w14:paraId="723DEB7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钢管满堂脚手架检查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72F8948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A38D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384" w:type="dxa"/>
            <w:shd w:val="clear" w:color="auto" w:fill="auto"/>
            <w:vAlign w:val="center"/>
          </w:tcPr>
          <w:p w14:paraId="0DDFEB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表13</w:t>
            </w:r>
          </w:p>
        </w:tc>
        <w:tc>
          <w:tcPr>
            <w:tcW w:w="4253" w:type="dxa"/>
            <w:shd w:val="clear" w:color="auto" w:fill="auto"/>
            <w:vAlign w:val="center"/>
          </w:tcPr>
          <w:p w14:paraId="799DDE4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高处作业吊篮检查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63EE49A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6DF1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384" w:type="dxa"/>
            <w:shd w:val="clear" w:color="auto" w:fill="auto"/>
            <w:vAlign w:val="center"/>
          </w:tcPr>
          <w:p w14:paraId="79ECA0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表14</w:t>
            </w:r>
          </w:p>
        </w:tc>
        <w:tc>
          <w:tcPr>
            <w:tcW w:w="4253" w:type="dxa"/>
            <w:shd w:val="clear" w:color="auto" w:fill="auto"/>
            <w:vAlign w:val="center"/>
          </w:tcPr>
          <w:p w14:paraId="17BA266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栈桥与</w:t>
            </w:r>
            <w:r>
              <w:rPr>
                <w:rFonts w:ascii="仿宋" w:hAnsi="仿宋" w:eastAsia="仿宋"/>
                <w:color w:val="000000" w:themeColor="text1"/>
                <w:sz w:val="21"/>
                <w:szCs w:val="21"/>
                <w14:textFill>
                  <w14:solidFill>
                    <w14:schemeClr w14:val="tx1"/>
                  </w14:solidFill>
                </w14:textFill>
              </w:rPr>
              <w:t>作业平台</w:t>
            </w:r>
            <w:r>
              <w:rPr>
                <w:rFonts w:hint="eastAsia" w:ascii="仿宋" w:hAnsi="仿宋" w:eastAsia="仿宋"/>
                <w:color w:val="000000" w:themeColor="text1"/>
                <w:sz w:val="21"/>
                <w:szCs w:val="21"/>
                <w14:textFill>
                  <w14:solidFill>
                    <w14:schemeClr w14:val="tx1"/>
                  </w14:solidFill>
                </w14:textFill>
              </w:rPr>
              <w:t>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6ED6443F">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1A0B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1384" w:type="dxa"/>
            <w:shd w:val="clear" w:color="auto" w:fill="auto"/>
            <w:vAlign w:val="center"/>
          </w:tcPr>
          <w:p w14:paraId="5C1ACA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表15</w:t>
            </w:r>
          </w:p>
        </w:tc>
        <w:tc>
          <w:tcPr>
            <w:tcW w:w="4253" w:type="dxa"/>
            <w:shd w:val="clear" w:color="auto" w:fill="auto"/>
            <w:vAlign w:val="center"/>
          </w:tcPr>
          <w:p w14:paraId="3B2CE5F7">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猫道检查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3A75489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43D60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384" w:type="dxa"/>
            <w:shd w:val="clear" w:color="auto" w:fill="auto"/>
            <w:vAlign w:val="center"/>
          </w:tcPr>
          <w:p w14:paraId="026EA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lang w:val="zh-CN" w:eastAsia="zh-CN"/>
                <w14:textFill>
                  <w14:solidFill>
                    <w14:schemeClr w14:val="tx1"/>
                  </w14:solidFill>
                </w14:textFill>
              </w:rPr>
              <w:t>表16</w:t>
            </w:r>
          </w:p>
        </w:tc>
        <w:tc>
          <w:tcPr>
            <w:tcW w:w="4253" w:type="dxa"/>
            <w:shd w:val="clear" w:color="auto" w:fill="auto"/>
            <w:vAlign w:val="center"/>
          </w:tcPr>
          <w:p w14:paraId="074A743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lang w:val="zh-CN" w:eastAsia="zh-CN"/>
                <w14:textFill>
                  <w14:solidFill>
                    <w14:schemeClr w14:val="tx1"/>
                  </w14:solidFill>
                </w14:textFill>
              </w:rPr>
              <w:t>钢管满堂模板支撑架检查评分表</w:t>
            </w:r>
          </w:p>
        </w:tc>
        <w:tc>
          <w:tcPr>
            <w:tcW w:w="1939" w:type="dxa"/>
            <w:shd w:val="clear" w:color="auto" w:fill="auto"/>
            <w:vAlign w:val="center"/>
          </w:tcPr>
          <w:p w14:paraId="47BE8D4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4ECA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384" w:type="dxa"/>
            <w:shd w:val="clear" w:color="auto" w:fill="auto"/>
            <w:vAlign w:val="center"/>
          </w:tcPr>
          <w:p w14:paraId="41229D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w:t>
            </w:r>
            <w:r>
              <w:rPr>
                <w:rFonts w:ascii="仿宋" w:hAnsi="仿宋" w:eastAsia="仿宋"/>
                <w:color w:val="000000" w:themeColor="text1"/>
                <w:sz w:val="21"/>
                <w:szCs w:val="21"/>
                <w14:textFill>
                  <w14:solidFill>
                    <w14:schemeClr w14:val="tx1"/>
                  </w14:solidFill>
                </w14:textFill>
              </w:rPr>
              <w:t>7</w:t>
            </w:r>
          </w:p>
        </w:tc>
        <w:tc>
          <w:tcPr>
            <w:tcW w:w="4253" w:type="dxa"/>
            <w:shd w:val="clear" w:color="auto" w:fill="auto"/>
            <w:vAlign w:val="center"/>
          </w:tcPr>
          <w:p w14:paraId="4EB3EF2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梁柱式模板支撑架检查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38F0D85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278B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384" w:type="dxa"/>
            <w:shd w:val="clear" w:color="auto" w:fill="auto"/>
            <w:vAlign w:val="center"/>
          </w:tcPr>
          <w:p w14:paraId="45BB92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w:t>
            </w:r>
            <w:r>
              <w:rPr>
                <w:rFonts w:ascii="仿宋" w:hAnsi="仿宋" w:eastAsia="仿宋"/>
                <w:color w:val="000000" w:themeColor="text1"/>
                <w:sz w:val="21"/>
                <w:szCs w:val="21"/>
                <w14:textFill>
                  <w14:solidFill>
                    <w14:schemeClr w14:val="tx1"/>
                  </w14:solidFill>
                </w14:textFill>
              </w:rPr>
              <w:t>8</w:t>
            </w:r>
          </w:p>
        </w:tc>
        <w:tc>
          <w:tcPr>
            <w:tcW w:w="4253" w:type="dxa"/>
            <w:shd w:val="clear" w:color="auto" w:fill="auto"/>
            <w:vAlign w:val="center"/>
          </w:tcPr>
          <w:p w14:paraId="7FDAD2D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移动模架检查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1A37ABD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2DB5D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384" w:type="dxa"/>
            <w:shd w:val="clear" w:color="auto" w:fill="auto"/>
            <w:vAlign w:val="center"/>
          </w:tcPr>
          <w:p w14:paraId="66FE58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表1</w:t>
            </w:r>
            <w:r>
              <w:rPr>
                <w:rFonts w:ascii="仿宋" w:hAnsi="仿宋" w:eastAsia="仿宋"/>
                <w:color w:val="000000" w:themeColor="text1"/>
                <w:sz w:val="21"/>
                <w:szCs w:val="21"/>
                <w14:textFill>
                  <w14:solidFill>
                    <w14:schemeClr w14:val="tx1"/>
                  </w14:solidFill>
                </w14:textFill>
              </w:rPr>
              <w:t>9</w:t>
            </w:r>
          </w:p>
        </w:tc>
        <w:tc>
          <w:tcPr>
            <w:tcW w:w="4253" w:type="dxa"/>
            <w:shd w:val="clear" w:color="auto" w:fill="auto"/>
            <w:vAlign w:val="center"/>
          </w:tcPr>
          <w:p w14:paraId="6B59EEB3">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悬臂施工挂篮检查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05E9050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2EBB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384" w:type="dxa"/>
            <w:shd w:val="clear" w:color="auto" w:fill="auto"/>
            <w:vAlign w:val="center"/>
          </w:tcPr>
          <w:p w14:paraId="60D9AFB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20</w:t>
            </w:r>
          </w:p>
        </w:tc>
        <w:tc>
          <w:tcPr>
            <w:tcW w:w="4253" w:type="dxa"/>
            <w:shd w:val="clear" w:color="auto" w:fill="auto"/>
            <w:vAlign w:val="center"/>
          </w:tcPr>
          <w:p w14:paraId="43C15726">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大模板检查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783E85E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1213C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384" w:type="dxa"/>
            <w:shd w:val="clear" w:color="auto" w:fill="auto"/>
            <w:vAlign w:val="center"/>
          </w:tcPr>
          <w:p w14:paraId="3D4193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21</w:t>
            </w:r>
          </w:p>
        </w:tc>
        <w:tc>
          <w:tcPr>
            <w:tcW w:w="4253" w:type="dxa"/>
            <w:shd w:val="clear" w:color="auto" w:fill="auto"/>
            <w:vAlign w:val="center"/>
          </w:tcPr>
          <w:p w14:paraId="251A30FA">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滑动模板检查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5D46897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3AC2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384" w:type="dxa"/>
            <w:shd w:val="clear" w:color="auto" w:fill="auto"/>
            <w:vAlign w:val="center"/>
          </w:tcPr>
          <w:p w14:paraId="6D7CDA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22</w:t>
            </w:r>
          </w:p>
        </w:tc>
        <w:tc>
          <w:tcPr>
            <w:tcW w:w="4253" w:type="dxa"/>
            <w:shd w:val="clear" w:color="auto" w:fill="auto"/>
            <w:vAlign w:val="center"/>
          </w:tcPr>
          <w:p w14:paraId="45C728E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液压爬升模板检查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0DDA2F9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410B5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384" w:type="dxa"/>
            <w:shd w:val="clear" w:color="auto" w:fill="auto"/>
            <w:vAlign w:val="center"/>
          </w:tcPr>
          <w:p w14:paraId="20FB6F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23</w:t>
            </w:r>
          </w:p>
        </w:tc>
        <w:tc>
          <w:tcPr>
            <w:tcW w:w="4253" w:type="dxa"/>
            <w:shd w:val="clear" w:color="auto" w:fill="auto"/>
            <w:vAlign w:val="center"/>
          </w:tcPr>
          <w:p w14:paraId="64EDC23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矿山法隧道检查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464BC7B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4B82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384" w:type="dxa"/>
            <w:shd w:val="clear" w:color="auto" w:fill="auto"/>
            <w:vAlign w:val="center"/>
          </w:tcPr>
          <w:p w14:paraId="4C3765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24</w:t>
            </w:r>
          </w:p>
        </w:tc>
        <w:tc>
          <w:tcPr>
            <w:tcW w:w="4253" w:type="dxa"/>
            <w:shd w:val="clear" w:color="auto" w:fill="auto"/>
            <w:vAlign w:val="center"/>
          </w:tcPr>
          <w:p w14:paraId="3813873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盾构法</w:t>
            </w:r>
            <w:r>
              <w:rPr>
                <w:rFonts w:ascii="仿宋" w:hAnsi="仿宋" w:eastAsia="仿宋"/>
                <w:color w:val="000000" w:themeColor="text1"/>
                <w:sz w:val="21"/>
                <w:szCs w:val="21"/>
                <w14:textFill>
                  <w14:solidFill>
                    <w14:schemeClr w14:val="tx1"/>
                  </w14:solidFill>
                </w14:textFill>
              </w:rPr>
              <w:t>隧道</w:t>
            </w:r>
            <w:r>
              <w:rPr>
                <w:rFonts w:hint="eastAsia" w:ascii="仿宋" w:hAnsi="仿宋" w:eastAsia="仿宋"/>
                <w:color w:val="000000" w:themeColor="text1"/>
                <w:sz w:val="21"/>
                <w:szCs w:val="21"/>
                <w14:textFill>
                  <w14:solidFill>
                    <w14:schemeClr w14:val="tx1"/>
                  </w14:solidFill>
                </w14:textFill>
              </w:rPr>
              <w:t>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0FE6D20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1DC43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384" w:type="dxa"/>
            <w:shd w:val="clear" w:color="auto" w:fill="auto"/>
            <w:vAlign w:val="center"/>
          </w:tcPr>
          <w:p w14:paraId="20EFAB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w:t>
            </w:r>
            <w:r>
              <w:rPr>
                <w:rFonts w:hint="eastAsia" w:ascii="仿宋" w:hAnsi="仿宋" w:eastAsia="仿宋"/>
                <w:color w:val="000000" w:themeColor="text1"/>
                <w:sz w:val="21"/>
                <w:szCs w:val="21"/>
                <w14:textFill>
                  <w14:solidFill>
                    <w14:schemeClr w14:val="tx1"/>
                  </w14:solidFill>
                </w14:textFill>
              </w:rPr>
              <w:t>5</w:t>
            </w:r>
          </w:p>
        </w:tc>
        <w:tc>
          <w:tcPr>
            <w:tcW w:w="4253" w:type="dxa"/>
            <w:shd w:val="clear" w:color="auto" w:fill="auto"/>
            <w:vAlign w:val="center"/>
          </w:tcPr>
          <w:p w14:paraId="294B4832">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顶管检查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076A7E8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238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384" w:type="dxa"/>
            <w:shd w:val="clear" w:color="auto" w:fill="auto"/>
            <w:vAlign w:val="center"/>
          </w:tcPr>
          <w:p w14:paraId="16FF8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w:t>
            </w:r>
            <w:r>
              <w:rPr>
                <w:rFonts w:hint="eastAsia" w:ascii="仿宋" w:hAnsi="仿宋" w:eastAsia="仿宋"/>
                <w:color w:val="000000" w:themeColor="text1"/>
                <w:sz w:val="21"/>
                <w:szCs w:val="21"/>
                <w14:textFill>
                  <w14:solidFill>
                    <w14:schemeClr w14:val="tx1"/>
                  </w14:solidFill>
                </w14:textFill>
              </w:rPr>
              <w:t>6</w:t>
            </w:r>
          </w:p>
        </w:tc>
        <w:tc>
          <w:tcPr>
            <w:tcW w:w="4253" w:type="dxa"/>
            <w:shd w:val="clear" w:color="auto" w:fill="auto"/>
            <w:vAlign w:val="center"/>
          </w:tcPr>
          <w:p w14:paraId="6BB69EC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塔式起重机检查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4578736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2EE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384" w:type="dxa"/>
            <w:shd w:val="clear" w:color="auto" w:fill="auto"/>
            <w:vAlign w:val="center"/>
          </w:tcPr>
          <w:p w14:paraId="2A0CD3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2</w:t>
            </w:r>
            <w:r>
              <w:rPr>
                <w:rFonts w:hint="eastAsia" w:ascii="仿宋" w:hAnsi="仿宋" w:eastAsia="仿宋"/>
                <w:color w:val="000000" w:themeColor="text1"/>
                <w:sz w:val="21"/>
                <w:szCs w:val="21"/>
                <w14:textFill>
                  <w14:solidFill>
                    <w14:schemeClr w14:val="tx1"/>
                  </w14:solidFill>
                </w14:textFill>
              </w:rPr>
              <w:t>7</w:t>
            </w:r>
          </w:p>
        </w:tc>
        <w:tc>
          <w:tcPr>
            <w:tcW w:w="4253" w:type="dxa"/>
            <w:shd w:val="clear" w:color="auto" w:fill="auto"/>
            <w:vAlign w:val="center"/>
          </w:tcPr>
          <w:p w14:paraId="05B0C13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门式起重机检查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3F3C8834">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6603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384" w:type="dxa"/>
            <w:shd w:val="clear" w:color="auto" w:fill="auto"/>
            <w:vAlign w:val="center"/>
          </w:tcPr>
          <w:p w14:paraId="282AB1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表28</w:t>
            </w:r>
          </w:p>
        </w:tc>
        <w:tc>
          <w:tcPr>
            <w:tcW w:w="4253" w:type="dxa"/>
            <w:shd w:val="clear" w:color="auto" w:fill="auto"/>
            <w:vAlign w:val="center"/>
          </w:tcPr>
          <w:p w14:paraId="2BACDAD5">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架桥机检查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0645FEF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609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384" w:type="dxa"/>
            <w:shd w:val="clear" w:color="auto" w:fill="auto"/>
            <w:vAlign w:val="center"/>
          </w:tcPr>
          <w:p w14:paraId="32810F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表29</w:t>
            </w:r>
          </w:p>
        </w:tc>
        <w:tc>
          <w:tcPr>
            <w:tcW w:w="4253" w:type="dxa"/>
            <w:shd w:val="clear" w:color="auto" w:fill="auto"/>
            <w:vAlign w:val="center"/>
          </w:tcPr>
          <w:p w14:paraId="041FB8C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施工升降机检查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289F40D9">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326E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384" w:type="dxa"/>
            <w:shd w:val="clear" w:color="auto" w:fill="auto"/>
            <w:vAlign w:val="center"/>
          </w:tcPr>
          <w:p w14:paraId="6FE2BB8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表30</w:t>
            </w:r>
          </w:p>
        </w:tc>
        <w:tc>
          <w:tcPr>
            <w:tcW w:w="4253" w:type="dxa"/>
            <w:shd w:val="clear" w:color="auto" w:fill="auto"/>
            <w:vAlign w:val="center"/>
          </w:tcPr>
          <w:p w14:paraId="608C013C">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物料提升机检查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70E2099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6FA2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384" w:type="dxa"/>
            <w:shd w:val="clear" w:color="auto" w:fill="auto"/>
            <w:vAlign w:val="center"/>
          </w:tcPr>
          <w:p w14:paraId="4F78370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3</w:t>
            </w:r>
            <w:r>
              <w:rPr>
                <w:rFonts w:hint="eastAsia" w:ascii="仿宋" w:hAnsi="仿宋" w:eastAsia="仿宋"/>
                <w:color w:val="000000" w:themeColor="text1"/>
                <w:sz w:val="21"/>
                <w:szCs w:val="21"/>
                <w14:textFill>
                  <w14:solidFill>
                    <w14:schemeClr w14:val="tx1"/>
                  </w14:solidFill>
                </w14:textFill>
              </w:rPr>
              <w:t>1</w:t>
            </w:r>
          </w:p>
        </w:tc>
        <w:tc>
          <w:tcPr>
            <w:tcW w:w="4253" w:type="dxa"/>
            <w:shd w:val="clear" w:color="auto" w:fill="auto"/>
            <w:vAlign w:val="center"/>
          </w:tcPr>
          <w:p w14:paraId="4ECC45DB">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缆索起重机检查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429E6C78">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tr w14:paraId="04C6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384" w:type="dxa"/>
            <w:shd w:val="clear" w:color="auto" w:fill="auto"/>
            <w:vAlign w:val="center"/>
          </w:tcPr>
          <w:p w14:paraId="58EBE7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表</w:t>
            </w:r>
            <w:r>
              <w:rPr>
                <w:rFonts w:ascii="仿宋" w:hAnsi="仿宋" w:eastAsia="仿宋"/>
                <w:color w:val="000000" w:themeColor="text1"/>
                <w:sz w:val="21"/>
                <w:szCs w:val="21"/>
                <w14:textFill>
                  <w14:solidFill>
                    <w14:schemeClr w14:val="tx1"/>
                  </w14:solidFill>
                </w14:textFill>
              </w:rPr>
              <w:t>32</w:t>
            </w:r>
          </w:p>
        </w:tc>
        <w:tc>
          <w:tcPr>
            <w:tcW w:w="4253" w:type="dxa"/>
            <w:shd w:val="clear" w:color="auto" w:fill="auto"/>
            <w:vAlign w:val="center"/>
          </w:tcPr>
          <w:p w14:paraId="0E5DE940">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仿宋" w:hAnsi="仿宋" w:eastAsia="仿宋"/>
                <w:color w:val="000000" w:themeColor="text1"/>
                <w:sz w:val="21"/>
                <w:szCs w:val="21"/>
                <w14:textFill>
                  <w14:solidFill>
                    <w14:schemeClr w14:val="tx1"/>
                  </w14:solidFill>
                </w14:textFill>
              </w:rPr>
            </w:pPr>
            <w:r>
              <w:rPr>
                <w:rFonts w:hint="eastAsia" w:ascii="仿宋" w:hAnsi="仿宋" w:eastAsia="仿宋"/>
                <w:color w:val="000000" w:themeColor="text1"/>
                <w:sz w:val="21"/>
                <w:szCs w:val="21"/>
                <w14:textFill>
                  <w14:solidFill>
                    <w14:schemeClr w14:val="tx1"/>
                  </w14:solidFill>
                </w14:textFill>
              </w:rPr>
              <w:t>起重吊装检查</w:t>
            </w:r>
            <w:r>
              <w:rPr>
                <w:rFonts w:ascii="仿宋" w:hAnsi="仿宋" w:eastAsia="仿宋"/>
                <w:color w:val="000000" w:themeColor="text1"/>
                <w:sz w:val="21"/>
                <w:szCs w:val="21"/>
                <w14:textFill>
                  <w14:solidFill>
                    <w14:schemeClr w14:val="tx1"/>
                  </w14:solidFill>
                </w14:textFill>
              </w:rPr>
              <w:t>评分表</w:t>
            </w:r>
          </w:p>
        </w:tc>
        <w:tc>
          <w:tcPr>
            <w:tcW w:w="1939" w:type="dxa"/>
            <w:shd w:val="clear" w:color="auto" w:fill="auto"/>
            <w:vAlign w:val="center"/>
          </w:tcPr>
          <w:p w14:paraId="50319DCE">
            <w:pPr>
              <w:keepNext w:val="0"/>
              <w:keepLines w:val="0"/>
              <w:pageBreakBefore w:val="0"/>
              <w:widowControl w:val="0"/>
              <w:kinsoku/>
              <w:wordWrap/>
              <w:overflowPunct/>
              <w:topLinePunct w:val="0"/>
              <w:autoSpaceDE/>
              <w:autoSpaceDN/>
              <w:bidi w:val="0"/>
              <w:adjustRightInd/>
              <w:snapToGrid/>
              <w:spacing w:line="240" w:lineRule="exact"/>
              <w:jc w:val="both"/>
              <w:textAlignment w:val="auto"/>
              <w:rPr>
                <w:rFonts w:ascii="Calibri" w:hAnsi="Calibri"/>
                <w:color w:val="000000" w:themeColor="text1"/>
                <w:sz w:val="21"/>
                <w:szCs w:val="21"/>
                <w14:textFill>
                  <w14:solidFill>
                    <w14:schemeClr w14:val="tx1"/>
                  </w14:solidFill>
                </w14:textFill>
              </w:rPr>
            </w:pPr>
          </w:p>
        </w:tc>
      </w:tr>
      <w:bookmarkEnd w:id="0"/>
    </w:tbl>
    <w:p w14:paraId="636B5EB8">
      <w:pPr>
        <w:pStyle w:val="3"/>
        <w:jc w:val="center"/>
        <w:rPr>
          <w:rFonts w:hint="eastAsia" w:ascii="方正小标宋简体" w:hAnsi="方正小标宋简体" w:eastAsia="方正小标宋简体" w:cs="方正小标宋简体"/>
          <w:b/>
          <w:bCs/>
          <w:color w:val="000000" w:themeColor="text1"/>
          <w:kern w:val="2"/>
          <w:sz w:val="32"/>
          <w:szCs w:val="32"/>
          <w:lang w:val="en-US" w:eastAsia="zh-CN" w:bidi="ar-SA"/>
          <w14:textFill>
            <w14:solidFill>
              <w14:schemeClr w14:val="tx1"/>
            </w14:solidFill>
          </w14:textFill>
        </w:rPr>
      </w:pPr>
      <w:bookmarkStart w:id="1" w:name="_Toc23752"/>
      <w:bookmarkStart w:id="2" w:name="_Toc7304"/>
      <w:bookmarkStart w:id="3" w:name="_Toc29835"/>
      <w:r>
        <w:rPr>
          <w:rFonts w:hint="eastAsia" w:ascii="方正小标宋简体" w:hAnsi="方正小标宋简体" w:eastAsia="方正小标宋简体" w:cs="方正小标宋简体"/>
          <w:b/>
          <w:bCs/>
          <w:color w:val="000000" w:themeColor="text1"/>
          <w:kern w:val="2"/>
          <w:sz w:val="32"/>
          <w:szCs w:val="32"/>
          <w:lang w:val="en-US" w:eastAsia="zh-CN" w:bidi="ar-SA"/>
          <w14:textFill>
            <w14:solidFill>
              <w14:schemeClr w14:val="tx1"/>
            </w14:solidFill>
          </w14:textFill>
        </w:rPr>
        <w:t>《市政工程施工安全分项检查评分表》</w:t>
      </w:r>
    </w:p>
    <w:p w14:paraId="58006555">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表1  安全管理检查</w:t>
      </w:r>
      <w:r>
        <w:rPr>
          <w:color w:val="000000" w:themeColor="text1"/>
          <w14:textFill>
            <w14:solidFill>
              <w14:schemeClr w14:val="tx1"/>
            </w14:solidFill>
          </w14:textFill>
        </w:rPr>
        <w:t>评分表</w:t>
      </w:r>
      <w:bookmarkEnd w:id="1"/>
      <w:bookmarkEnd w:id="2"/>
      <w:bookmarkEnd w:id="3"/>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2EC80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402777A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32E8B54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15FD382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5C676FE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13F5C4C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42524EF7">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3733FB56">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50A0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2BA3F6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03424EE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 证 项 目</w:t>
            </w:r>
          </w:p>
        </w:tc>
        <w:tc>
          <w:tcPr>
            <w:tcW w:w="898" w:type="dxa"/>
            <w:vAlign w:val="center"/>
          </w:tcPr>
          <w:p w14:paraId="591D2E8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责任制度与目标管理</w:t>
            </w:r>
          </w:p>
        </w:tc>
        <w:tc>
          <w:tcPr>
            <w:tcW w:w="5580" w:type="dxa"/>
            <w:vAlign w:val="center"/>
          </w:tcPr>
          <w:p w14:paraId="18E7AAD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1）未按标准制定安全生产责任制，扣10分；未经责任人签字确认，扣5分</w:t>
            </w:r>
          </w:p>
          <w:p w14:paraId="17399E3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2）未制定安全生产管理目标，扣5分；未进行目标分解，扣2-5分</w:t>
            </w:r>
          </w:p>
          <w:p w14:paraId="316A258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3）未制定安全生产资金保障制度，扣5分；未编制安全资金使用计划，扣5分</w:t>
            </w:r>
          </w:p>
          <w:p w14:paraId="37A83AF9">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4）未建立安全生产责任制和目标考核制度，扣5分；未对项目管理人员定期进行考核，扣2-5分</w:t>
            </w:r>
          </w:p>
          <w:p w14:paraId="15CBC64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5）未按规定使用安全文明措施费，扣10分，未建立费用登记台账，扣5分</w:t>
            </w:r>
          </w:p>
        </w:tc>
        <w:tc>
          <w:tcPr>
            <w:tcW w:w="720" w:type="dxa"/>
            <w:vAlign w:val="center"/>
          </w:tcPr>
          <w:p w14:paraId="6E8498F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F875E8E">
            <w:pPr>
              <w:pStyle w:val="42"/>
              <w:rPr>
                <w:color w:val="000000" w:themeColor="text1"/>
                <w14:textFill>
                  <w14:solidFill>
                    <w14:schemeClr w14:val="tx1"/>
                  </w14:solidFill>
                </w14:textFill>
              </w:rPr>
            </w:pPr>
          </w:p>
        </w:tc>
        <w:tc>
          <w:tcPr>
            <w:tcW w:w="720" w:type="dxa"/>
            <w:vAlign w:val="center"/>
          </w:tcPr>
          <w:p w14:paraId="42A7D357">
            <w:pPr>
              <w:pStyle w:val="42"/>
              <w:rPr>
                <w:color w:val="000000" w:themeColor="text1"/>
                <w14:textFill>
                  <w14:solidFill>
                    <w14:schemeClr w14:val="tx1"/>
                  </w14:solidFill>
                </w14:textFill>
              </w:rPr>
            </w:pPr>
          </w:p>
        </w:tc>
      </w:tr>
      <w:tr w14:paraId="5BF8B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60882BF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0F3F457C">
            <w:pPr>
              <w:pStyle w:val="42"/>
              <w:rPr>
                <w:color w:val="000000" w:themeColor="text1"/>
                <w14:textFill>
                  <w14:solidFill>
                    <w14:schemeClr w14:val="tx1"/>
                  </w14:solidFill>
                </w14:textFill>
              </w:rPr>
            </w:pPr>
          </w:p>
        </w:tc>
        <w:tc>
          <w:tcPr>
            <w:tcW w:w="898" w:type="dxa"/>
            <w:vAlign w:val="center"/>
          </w:tcPr>
          <w:p w14:paraId="65838F6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施工组织设计及专项施工方案</w:t>
            </w:r>
          </w:p>
        </w:tc>
        <w:tc>
          <w:tcPr>
            <w:tcW w:w="5580" w:type="dxa"/>
            <w:vAlign w:val="center"/>
          </w:tcPr>
          <w:p w14:paraId="3CA0B65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1）未编制施工组织设计，扣10分；</w:t>
            </w:r>
          </w:p>
          <w:p w14:paraId="0F1B5BB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2）未制定安全技术措施，扣10分</w:t>
            </w:r>
          </w:p>
          <w:p w14:paraId="5F1CD54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3）危险性较大的分部分项工程未编制安全专项施工方案或未按规定进行设计计算，扣10分</w:t>
            </w:r>
          </w:p>
          <w:p w14:paraId="67E0079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4）安全技术措施、安全专项施工方案无针对性，扣2-8分</w:t>
            </w:r>
          </w:p>
          <w:p w14:paraId="03EEC46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5）未按规定对超过一定规模危险性较大的分部分项工程专项施工方案进行专家论证，扣10分</w:t>
            </w:r>
          </w:p>
          <w:p w14:paraId="32FC2E8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6）施工组织设计及专项施工方案未按规定进行审核、审批，扣10分</w:t>
            </w:r>
          </w:p>
        </w:tc>
        <w:tc>
          <w:tcPr>
            <w:tcW w:w="720" w:type="dxa"/>
            <w:vAlign w:val="center"/>
          </w:tcPr>
          <w:p w14:paraId="09FFA05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C5EBCD4">
            <w:pPr>
              <w:pStyle w:val="42"/>
              <w:rPr>
                <w:color w:val="000000" w:themeColor="text1"/>
                <w14:textFill>
                  <w14:solidFill>
                    <w14:schemeClr w14:val="tx1"/>
                  </w14:solidFill>
                </w14:textFill>
              </w:rPr>
            </w:pPr>
          </w:p>
        </w:tc>
        <w:tc>
          <w:tcPr>
            <w:tcW w:w="720" w:type="dxa"/>
            <w:vAlign w:val="center"/>
          </w:tcPr>
          <w:p w14:paraId="11918333">
            <w:pPr>
              <w:pStyle w:val="42"/>
              <w:rPr>
                <w:color w:val="000000" w:themeColor="text1"/>
                <w14:textFill>
                  <w14:solidFill>
                    <w14:schemeClr w14:val="tx1"/>
                  </w14:solidFill>
                </w14:textFill>
              </w:rPr>
            </w:pPr>
          </w:p>
        </w:tc>
      </w:tr>
      <w:tr w14:paraId="0AFA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E35542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2A359FB3">
            <w:pPr>
              <w:pStyle w:val="42"/>
              <w:rPr>
                <w:color w:val="000000" w:themeColor="text1"/>
                <w14:textFill>
                  <w14:solidFill>
                    <w14:schemeClr w14:val="tx1"/>
                  </w14:solidFill>
                </w14:textFill>
              </w:rPr>
            </w:pPr>
          </w:p>
        </w:tc>
        <w:tc>
          <w:tcPr>
            <w:tcW w:w="898" w:type="dxa"/>
            <w:vAlign w:val="center"/>
          </w:tcPr>
          <w:p w14:paraId="77A74B1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单位资质与人员配备</w:t>
            </w:r>
          </w:p>
        </w:tc>
        <w:tc>
          <w:tcPr>
            <w:tcW w:w="5580" w:type="dxa"/>
            <w:vAlign w:val="center"/>
          </w:tcPr>
          <w:p w14:paraId="1F4B218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1）施工单位未取得安全生产许可证，扣10分</w:t>
            </w:r>
          </w:p>
          <w:p w14:paraId="5D15BA39">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2）未设置项目安全生产领导小组或项目安全专职管理机构，扣5分</w:t>
            </w:r>
          </w:p>
          <w:p w14:paraId="01FFAA0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3）项目经理部主要管理人员未与施工单位签订劳动合同或无社会养老保险关系，扣5分</w:t>
            </w:r>
          </w:p>
          <w:p w14:paraId="663E7DF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4）未按规定配备专职安全生产管理人员，扣5分</w:t>
            </w:r>
          </w:p>
          <w:p w14:paraId="1058CEF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5）项目经理和专职安全生产管理人员无相应执业资格，扣5分</w:t>
            </w:r>
          </w:p>
          <w:p w14:paraId="22FBC0B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6）项目经理和专职安全生产管理人员同时在两个或两个以上工程项目上担任职务，扣5分</w:t>
            </w:r>
          </w:p>
          <w:p w14:paraId="34B9648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7）特种作业人员无特种作业资格证，扣10分</w:t>
            </w:r>
          </w:p>
        </w:tc>
        <w:tc>
          <w:tcPr>
            <w:tcW w:w="720" w:type="dxa"/>
            <w:vAlign w:val="center"/>
          </w:tcPr>
          <w:p w14:paraId="57E9E6E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F3D2A80">
            <w:pPr>
              <w:pStyle w:val="42"/>
              <w:rPr>
                <w:color w:val="000000" w:themeColor="text1"/>
                <w14:textFill>
                  <w14:solidFill>
                    <w14:schemeClr w14:val="tx1"/>
                  </w14:solidFill>
                </w14:textFill>
              </w:rPr>
            </w:pPr>
          </w:p>
        </w:tc>
        <w:tc>
          <w:tcPr>
            <w:tcW w:w="720" w:type="dxa"/>
            <w:vAlign w:val="center"/>
          </w:tcPr>
          <w:p w14:paraId="2CAC78E1">
            <w:pPr>
              <w:pStyle w:val="42"/>
              <w:rPr>
                <w:color w:val="000000" w:themeColor="text1"/>
                <w14:textFill>
                  <w14:solidFill>
                    <w14:schemeClr w14:val="tx1"/>
                  </w14:solidFill>
                </w14:textFill>
              </w:rPr>
            </w:pPr>
          </w:p>
        </w:tc>
      </w:tr>
      <w:tr w14:paraId="4CEC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DB3C6D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50263390">
            <w:pPr>
              <w:pStyle w:val="42"/>
              <w:rPr>
                <w:color w:val="000000" w:themeColor="text1"/>
                <w14:textFill>
                  <w14:solidFill>
                    <w14:schemeClr w14:val="tx1"/>
                  </w14:solidFill>
                </w14:textFill>
              </w:rPr>
            </w:pPr>
          </w:p>
        </w:tc>
        <w:tc>
          <w:tcPr>
            <w:tcW w:w="898" w:type="dxa"/>
            <w:vAlign w:val="center"/>
          </w:tcPr>
          <w:p w14:paraId="1975CAE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安全技术交底</w:t>
            </w:r>
          </w:p>
        </w:tc>
        <w:tc>
          <w:tcPr>
            <w:tcW w:w="5580" w:type="dxa"/>
            <w:vAlign w:val="center"/>
          </w:tcPr>
          <w:p w14:paraId="7F8CFE8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1）未按规定进行安全技术交底，扣10分，交底未履行签字手续，扣5分</w:t>
            </w:r>
          </w:p>
          <w:p w14:paraId="272B202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2）未制定各工种安全技术操作规程，扣5分，未将操作规程挂设在作业场所显著位置，扣3分</w:t>
            </w:r>
          </w:p>
          <w:p w14:paraId="5742D2D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3）未结合施工现场情况及作业特点对危险因素、施工方案、标准、操作规程及应急措施进行技术交底，扣2-8分</w:t>
            </w:r>
          </w:p>
          <w:p w14:paraId="4491F9D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4）未按施工工序、施工部位及施工环境等因素分部分项进行安全技术交底，扣2-8分</w:t>
            </w:r>
          </w:p>
        </w:tc>
        <w:tc>
          <w:tcPr>
            <w:tcW w:w="720" w:type="dxa"/>
            <w:vAlign w:val="center"/>
          </w:tcPr>
          <w:p w14:paraId="75504A3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18525070">
            <w:pPr>
              <w:pStyle w:val="42"/>
              <w:rPr>
                <w:color w:val="000000" w:themeColor="text1"/>
                <w14:textFill>
                  <w14:solidFill>
                    <w14:schemeClr w14:val="tx1"/>
                  </w14:solidFill>
                </w14:textFill>
              </w:rPr>
            </w:pPr>
          </w:p>
        </w:tc>
        <w:tc>
          <w:tcPr>
            <w:tcW w:w="720" w:type="dxa"/>
            <w:vAlign w:val="center"/>
          </w:tcPr>
          <w:p w14:paraId="43633A2C">
            <w:pPr>
              <w:pStyle w:val="42"/>
              <w:rPr>
                <w:color w:val="000000" w:themeColor="text1"/>
                <w14:textFill>
                  <w14:solidFill>
                    <w14:schemeClr w14:val="tx1"/>
                  </w14:solidFill>
                </w14:textFill>
              </w:rPr>
            </w:pPr>
          </w:p>
        </w:tc>
      </w:tr>
      <w:tr w14:paraId="728C3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08FAC75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603831DB">
            <w:pPr>
              <w:pStyle w:val="42"/>
              <w:rPr>
                <w:color w:val="000000" w:themeColor="text1"/>
                <w14:textFill>
                  <w14:solidFill>
                    <w14:schemeClr w14:val="tx1"/>
                  </w14:solidFill>
                </w14:textFill>
              </w:rPr>
            </w:pPr>
          </w:p>
        </w:tc>
        <w:tc>
          <w:tcPr>
            <w:tcW w:w="898" w:type="dxa"/>
            <w:vAlign w:val="center"/>
          </w:tcPr>
          <w:p w14:paraId="41DBC8E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安全教育与班前活动</w:t>
            </w:r>
          </w:p>
        </w:tc>
        <w:tc>
          <w:tcPr>
            <w:tcW w:w="5580" w:type="dxa"/>
            <w:vAlign w:val="center"/>
          </w:tcPr>
          <w:p w14:paraId="46E239C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1）未按规定建立安全教育培训制度，扣10分</w:t>
            </w:r>
          </w:p>
          <w:p w14:paraId="4E39658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2）采用新技术、新工艺、新设备、新材料技术施工时，未按规定进行安全教育培训，扣5分</w:t>
            </w:r>
          </w:p>
          <w:p w14:paraId="4DBBB69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3）企业待岗、转岗、换岗的作业人员在重新上岗前未进行安全教育培训，扣5分</w:t>
            </w:r>
          </w:p>
          <w:p w14:paraId="5B85F19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4）施工人员入场时未按规定进行三级安全教育培训和考核，扣5分</w:t>
            </w:r>
          </w:p>
          <w:p w14:paraId="58ABF06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5）每年度进行安全教育培训次数不符合规定，扣5分</w:t>
            </w:r>
          </w:p>
          <w:p w14:paraId="5027535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6）未建立班前安全活动制度，扣5分，无安全活动记录，扣3分</w:t>
            </w:r>
          </w:p>
        </w:tc>
        <w:tc>
          <w:tcPr>
            <w:tcW w:w="720" w:type="dxa"/>
            <w:vAlign w:val="center"/>
          </w:tcPr>
          <w:p w14:paraId="7DC0E6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D68615F">
            <w:pPr>
              <w:pStyle w:val="42"/>
              <w:rPr>
                <w:color w:val="000000" w:themeColor="text1"/>
                <w14:textFill>
                  <w14:solidFill>
                    <w14:schemeClr w14:val="tx1"/>
                  </w14:solidFill>
                </w14:textFill>
              </w:rPr>
            </w:pPr>
          </w:p>
        </w:tc>
        <w:tc>
          <w:tcPr>
            <w:tcW w:w="720" w:type="dxa"/>
            <w:vAlign w:val="center"/>
          </w:tcPr>
          <w:p w14:paraId="098D16D2">
            <w:pPr>
              <w:pStyle w:val="42"/>
              <w:rPr>
                <w:color w:val="000000" w:themeColor="text1"/>
                <w14:textFill>
                  <w14:solidFill>
                    <w14:schemeClr w14:val="tx1"/>
                  </w14:solidFill>
                </w14:textFill>
              </w:rPr>
            </w:pPr>
          </w:p>
        </w:tc>
      </w:tr>
      <w:tr w14:paraId="02BF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EA0BF1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73E7CB42">
            <w:pPr>
              <w:pStyle w:val="42"/>
              <w:rPr>
                <w:color w:val="000000" w:themeColor="text1"/>
                <w14:textFill>
                  <w14:solidFill>
                    <w14:schemeClr w14:val="tx1"/>
                  </w14:solidFill>
                </w14:textFill>
              </w:rPr>
            </w:pPr>
          </w:p>
        </w:tc>
        <w:tc>
          <w:tcPr>
            <w:tcW w:w="898" w:type="dxa"/>
            <w:vAlign w:val="center"/>
          </w:tcPr>
          <w:p w14:paraId="2A05AD4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应急管理</w:t>
            </w:r>
          </w:p>
        </w:tc>
        <w:tc>
          <w:tcPr>
            <w:tcW w:w="5580" w:type="dxa"/>
            <w:vAlign w:val="center"/>
          </w:tcPr>
          <w:p w14:paraId="283A516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1）未进行重大危险源的辨识，扣10分，无文字记录，扣5分</w:t>
            </w:r>
          </w:p>
          <w:p w14:paraId="4AE1125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2）未制定安全生产事故综合应急预案、专项应急预案和现场处置方案，扣10分</w:t>
            </w:r>
          </w:p>
          <w:p w14:paraId="4AAB610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3）应急预案不全面、无针对性，扣2-8分</w:t>
            </w:r>
          </w:p>
          <w:p w14:paraId="6AFB82E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4）未定期组织员工进行应急救援演练，扣5分</w:t>
            </w:r>
          </w:p>
          <w:p w14:paraId="4863E42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5）未按救援预案要求配备应急救援物资、器材及设备，扣5-10分</w:t>
            </w:r>
          </w:p>
        </w:tc>
        <w:tc>
          <w:tcPr>
            <w:tcW w:w="720" w:type="dxa"/>
            <w:vAlign w:val="center"/>
          </w:tcPr>
          <w:p w14:paraId="7257A30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46A7A4D">
            <w:pPr>
              <w:pStyle w:val="42"/>
              <w:rPr>
                <w:color w:val="000000" w:themeColor="text1"/>
                <w14:textFill>
                  <w14:solidFill>
                    <w14:schemeClr w14:val="tx1"/>
                  </w14:solidFill>
                </w14:textFill>
              </w:rPr>
            </w:pPr>
          </w:p>
        </w:tc>
        <w:tc>
          <w:tcPr>
            <w:tcW w:w="720" w:type="dxa"/>
            <w:vAlign w:val="center"/>
          </w:tcPr>
          <w:p w14:paraId="3CF90227">
            <w:pPr>
              <w:pStyle w:val="42"/>
              <w:rPr>
                <w:color w:val="000000" w:themeColor="text1"/>
                <w14:textFill>
                  <w14:solidFill>
                    <w14:schemeClr w14:val="tx1"/>
                  </w14:solidFill>
                </w14:textFill>
              </w:rPr>
            </w:pPr>
          </w:p>
        </w:tc>
      </w:tr>
      <w:tr w14:paraId="2933E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C42E08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43" w:type="dxa"/>
            <w:vMerge w:val="continue"/>
            <w:vAlign w:val="center"/>
          </w:tcPr>
          <w:p w14:paraId="2076A44A">
            <w:pPr>
              <w:pStyle w:val="42"/>
              <w:rPr>
                <w:color w:val="000000" w:themeColor="text1"/>
                <w14:textFill>
                  <w14:solidFill>
                    <w14:schemeClr w14:val="tx1"/>
                  </w14:solidFill>
                </w14:textFill>
              </w:rPr>
            </w:pPr>
          </w:p>
        </w:tc>
        <w:tc>
          <w:tcPr>
            <w:tcW w:w="898" w:type="dxa"/>
            <w:vAlign w:val="center"/>
          </w:tcPr>
          <w:p w14:paraId="0AA6EB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安全检查</w:t>
            </w:r>
          </w:p>
        </w:tc>
        <w:tc>
          <w:tcPr>
            <w:tcW w:w="5580" w:type="dxa"/>
            <w:vAlign w:val="center"/>
          </w:tcPr>
          <w:p w14:paraId="312A587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1）企业负责人或项目经理未按规定进行带班检查或无带班检查记录，扣10分</w:t>
            </w:r>
          </w:p>
          <w:p w14:paraId="3259055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2）未建立安全检查制度、事故隐患排查治理制度，扣10分</w:t>
            </w:r>
          </w:p>
          <w:p w14:paraId="7AB0E099">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3）未有效开展日常、定期、季节性安全检查和安全专项整治或无检查记录，扣5分</w:t>
            </w:r>
          </w:p>
          <w:p w14:paraId="3EC4127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4）重大事故隐患整改未按期整改和复查，扣5-10分</w:t>
            </w:r>
          </w:p>
          <w:p w14:paraId="01E20F9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5）未建立安全检查档案，扣5分</w:t>
            </w:r>
          </w:p>
        </w:tc>
        <w:tc>
          <w:tcPr>
            <w:tcW w:w="720" w:type="dxa"/>
            <w:vAlign w:val="center"/>
          </w:tcPr>
          <w:p w14:paraId="226DCC7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557A7D52">
            <w:pPr>
              <w:pStyle w:val="42"/>
              <w:rPr>
                <w:color w:val="000000" w:themeColor="text1"/>
                <w14:textFill>
                  <w14:solidFill>
                    <w14:schemeClr w14:val="tx1"/>
                  </w14:solidFill>
                </w14:textFill>
              </w:rPr>
            </w:pPr>
          </w:p>
        </w:tc>
        <w:tc>
          <w:tcPr>
            <w:tcW w:w="720" w:type="dxa"/>
            <w:vAlign w:val="center"/>
          </w:tcPr>
          <w:p w14:paraId="60DEF312">
            <w:pPr>
              <w:pStyle w:val="42"/>
              <w:rPr>
                <w:color w:val="000000" w:themeColor="text1"/>
                <w14:textFill>
                  <w14:solidFill>
                    <w14:schemeClr w14:val="tx1"/>
                  </w14:solidFill>
                </w14:textFill>
              </w:rPr>
            </w:pPr>
          </w:p>
        </w:tc>
      </w:tr>
      <w:tr w14:paraId="41D98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67E4B52">
            <w:pPr>
              <w:pStyle w:val="42"/>
              <w:rPr>
                <w:color w:val="000000" w:themeColor="text1"/>
                <w14:textFill>
                  <w14:solidFill>
                    <w14:schemeClr w14:val="tx1"/>
                  </w14:solidFill>
                </w14:textFill>
              </w:rPr>
            </w:pPr>
          </w:p>
        </w:tc>
        <w:tc>
          <w:tcPr>
            <w:tcW w:w="543" w:type="dxa"/>
            <w:vMerge w:val="continue"/>
          </w:tcPr>
          <w:p w14:paraId="0178DD64">
            <w:pPr>
              <w:pStyle w:val="42"/>
              <w:rPr>
                <w:color w:val="000000" w:themeColor="text1"/>
                <w14:textFill>
                  <w14:solidFill>
                    <w14:schemeClr w14:val="tx1"/>
                  </w14:solidFill>
                </w14:textFill>
              </w:rPr>
            </w:pPr>
          </w:p>
        </w:tc>
        <w:tc>
          <w:tcPr>
            <w:tcW w:w="6478" w:type="dxa"/>
            <w:gridSpan w:val="2"/>
            <w:vAlign w:val="center"/>
          </w:tcPr>
          <w:p w14:paraId="553C1C09">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429CB2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72EC2C30">
            <w:pPr>
              <w:pStyle w:val="42"/>
              <w:rPr>
                <w:color w:val="000000" w:themeColor="text1"/>
                <w14:textFill>
                  <w14:solidFill>
                    <w14:schemeClr w14:val="tx1"/>
                  </w14:solidFill>
                </w14:textFill>
              </w:rPr>
            </w:pPr>
          </w:p>
        </w:tc>
        <w:tc>
          <w:tcPr>
            <w:tcW w:w="720" w:type="dxa"/>
            <w:vAlign w:val="center"/>
          </w:tcPr>
          <w:p w14:paraId="2AFCDE3D">
            <w:pPr>
              <w:pStyle w:val="42"/>
              <w:rPr>
                <w:color w:val="000000" w:themeColor="text1"/>
                <w14:textFill>
                  <w14:solidFill>
                    <w14:schemeClr w14:val="tx1"/>
                  </w14:solidFill>
                </w14:textFill>
              </w:rPr>
            </w:pPr>
          </w:p>
        </w:tc>
      </w:tr>
      <w:tr w14:paraId="23753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53D1BEF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436A24E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5C068B0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4425057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60E2F8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CD50A5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生产安全事故处理</w:t>
            </w:r>
          </w:p>
        </w:tc>
        <w:tc>
          <w:tcPr>
            <w:tcW w:w="5580" w:type="dxa"/>
            <w:vAlign w:val="center"/>
          </w:tcPr>
          <w:p w14:paraId="2E3FBDC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1）未建立工伤事故报告和调查处理制度，扣10分</w:t>
            </w:r>
          </w:p>
          <w:p w14:paraId="6212531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2）安全事故、险情发生后未及时上报，扣10分</w:t>
            </w:r>
          </w:p>
          <w:p w14:paraId="515E909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3）未按规定进行调查分析、制定防范措施，扣10分</w:t>
            </w:r>
          </w:p>
          <w:p w14:paraId="078D14F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4）未建立安全事故档案，扣5分</w:t>
            </w:r>
          </w:p>
          <w:p w14:paraId="05CFC18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5）未依法为施工作业人员办理保险，扣5分</w:t>
            </w:r>
          </w:p>
        </w:tc>
        <w:tc>
          <w:tcPr>
            <w:tcW w:w="720" w:type="dxa"/>
            <w:vAlign w:val="center"/>
          </w:tcPr>
          <w:p w14:paraId="4DD6BE3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50F7AAF3">
            <w:pPr>
              <w:pStyle w:val="42"/>
              <w:rPr>
                <w:color w:val="000000" w:themeColor="text1"/>
                <w14:textFill>
                  <w14:solidFill>
                    <w14:schemeClr w14:val="tx1"/>
                  </w14:solidFill>
                </w14:textFill>
              </w:rPr>
            </w:pPr>
          </w:p>
        </w:tc>
        <w:tc>
          <w:tcPr>
            <w:tcW w:w="720" w:type="dxa"/>
            <w:vAlign w:val="center"/>
          </w:tcPr>
          <w:p w14:paraId="4C81CCD8">
            <w:pPr>
              <w:pStyle w:val="42"/>
              <w:rPr>
                <w:color w:val="000000" w:themeColor="text1"/>
                <w14:textFill>
                  <w14:solidFill>
                    <w14:schemeClr w14:val="tx1"/>
                  </w14:solidFill>
                </w14:textFill>
              </w:rPr>
            </w:pPr>
          </w:p>
        </w:tc>
      </w:tr>
      <w:tr w14:paraId="0650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45C870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5E71E384">
            <w:pPr>
              <w:pStyle w:val="42"/>
              <w:rPr>
                <w:color w:val="000000" w:themeColor="text1"/>
                <w14:textFill>
                  <w14:solidFill>
                    <w14:schemeClr w14:val="tx1"/>
                  </w14:solidFill>
                </w14:textFill>
              </w:rPr>
            </w:pPr>
          </w:p>
        </w:tc>
        <w:tc>
          <w:tcPr>
            <w:tcW w:w="898" w:type="dxa"/>
            <w:vAlign w:val="center"/>
          </w:tcPr>
          <w:p w14:paraId="69C1D48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分包单位管理</w:t>
            </w:r>
          </w:p>
        </w:tc>
        <w:tc>
          <w:tcPr>
            <w:tcW w:w="5580" w:type="dxa"/>
            <w:vAlign w:val="center"/>
          </w:tcPr>
          <w:p w14:paraId="485F8BC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1）分包单位进行资质、安全生产许可证和相关人员安全生产资格不符合要求，扣10分；</w:t>
            </w:r>
          </w:p>
          <w:p w14:paraId="40638C3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2）未签订安全生产协议书，扣5分</w:t>
            </w:r>
          </w:p>
          <w:p w14:paraId="5C83806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3）未按规定建立安全机构或未配备专职安全员，扣5分</w:t>
            </w:r>
          </w:p>
          <w:p w14:paraId="6106098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4）未对分包队伍开展安全教育或无文字记录，扣5分</w:t>
            </w:r>
          </w:p>
          <w:p w14:paraId="36B9274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5）未定期对分包单位开展安全检查或无检查记录，扣5分</w:t>
            </w:r>
          </w:p>
        </w:tc>
        <w:tc>
          <w:tcPr>
            <w:tcW w:w="720" w:type="dxa"/>
            <w:vAlign w:val="center"/>
          </w:tcPr>
          <w:p w14:paraId="21A5CB7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A7C3332">
            <w:pPr>
              <w:pStyle w:val="42"/>
              <w:rPr>
                <w:color w:val="000000" w:themeColor="text1"/>
                <w14:textFill>
                  <w14:solidFill>
                    <w14:schemeClr w14:val="tx1"/>
                  </w14:solidFill>
                </w14:textFill>
              </w:rPr>
            </w:pPr>
          </w:p>
        </w:tc>
        <w:tc>
          <w:tcPr>
            <w:tcW w:w="720" w:type="dxa"/>
            <w:vAlign w:val="center"/>
          </w:tcPr>
          <w:p w14:paraId="507ED8EA">
            <w:pPr>
              <w:pStyle w:val="42"/>
              <w:rPr>
                <w:color w:val="000000" w:themeColor="text1"/>
                <w14:textFill>
                  <w14:solidFill>
                    <w14:schemeClr w14:val="tx1"/>
                  </w14:solidFill>
                </w14:textFill>
              </w:rPr>
            </w:pPr>
          </w:p>
        </w:tc>
      </w:tr>
      <w:tr w14:paraId="05AC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52BC31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616265C3">
            <w:pPr>
              <w:pStyle w:val="42"/>
              <w:rPr>
                <w:color w:val="000000" w:themeColor="text1"/>
                <w14:textFill>
                  <w14:solidFill>
                    <w14:schemeClr w14:val="tx1"/>
                  </w14:solidFill>
                </w14:textFill>
              </w:rPr>
            </w:pPr>
          </w:p>
        </w:tc>
        <w:tc>
          <w:tcPr>
            <w:tcW w:w="898" w:type="dxa"/>
            <w:vAlign w:val="center"/>
          </w:tcPr>
          <w:p w14:paraId="7E1B413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安全标志</w:t>
            </w:r>
          </w:p>
        </w:tc>
        <w:tc>
          <w:tcPr>
            <w:tcW w:w="5580" w:type="dxa"/>
            <w:vAlign w:val="center"/>
          </w:tcPr>
          <w:p w14:paraId="56CAE68A">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1）施工现场未设置安全标志布置图，扣5分</w:t>
            </w:r>
          </w:p>
          <w:p w14:paraId="21DAA4C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2）施工现场未设置重大危险源公示牌，扣5分</w:t>
            </w:r>
          </w:p>
          <w:p w14:paraId="6D732C5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3）施工现场入口及主要施工区域、危险部位未设置相对应的安全警示标志牌，扣5分</w:t>
            </w:r>
          </w:p>
          <w:p w14:paraId="27417A0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4）施工现场安全警示牌移动、损坏未及时复原，扣5分</w:t>
            </w:r>
          </w:p>
        </w:tc>
        <w:tc>
          <w:tcPr>
            <w:tcW w:w="720" w:type="dxa"/>
            <w:vAlign w:val="center"/>
          </w:tcPr>
          <w:p w14:paraId="1F65B2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B210761">
            <w:pPr>
              <w:pStyle w:val="42"/>
              <w:rPr>
                <w:color w:val="000000" w:themeColor="text1"/>
                <w14:textFill>
                  <w14:solidFill>
                    <w14:schemeClr w14:val="tx1"/>
                  </w14:solidFill>
                </w14:textFill>
              </w:rPr>
            </w:pPr>
          </w:p>
        </w:tc>
        <w:tc>
          <w:tcPr>
            <w:tcW w:w="720" w:type="dxa"/>
            <w:vAlign w:val="center"/>
          </w:tcPr>
          <w:p w14:paraId="521791C3">
            <w:pPr>
              <w:pStyle w:val="42"/>
              <w:rPr>
                <w:color w:val="000000" w:themeColor="text1"/>
                <w14:textFill>
                  <w14:solidFill>
                    <w14:schemeClr w14:val="tx1"/>
                  </w14:solidFill>
                </w14:textFill>
              </w:rPr>
            </w:pPr>
          </w:p>
        </w:tc>
      </w:tr>
      <w:tr w14:paraId="39186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8ED5584">
            <w:pPr>
              <w:pStyle w:val="42"/>
              <w:rPr>
                <w:color w:val="000000" w:themeColor="text1"/>
                <w14:textFill>
                  <w14:solidFill>
                    <w14:schemeClr w14:val="tx1"/>
                  </w14:solidFill>
                </w14:textFill>
              </w:rPr>
            </w:pPr>
          </w:p>
        </w:tc>
        <w:tc>
          <w:tcPr>
            <w:tcW w:w="543" w:type="dxa"/>
            <w:vMerge w:val="continue"/>
          </w:tcPr>
          <w:p w14:paraId="405F0576">
            <w:pPr>
              <w:pStyle w:val="42"/>
              <w:rPr>
                <w:color w:val="000000" w:themeColor="text1"/>
                <w14:textFill>
                  <w14:solidFill>
                    <w14:schemeClr w14:val="tx1"/>
                  </w14:solidFill>
                </w14:textFill>
              </w:rPr>
            </w:pPr>
          </w:p>
        </w:tc>
        <w:tc>
          <w:tcPr>
            <w:tcW w:w="6478" w:type="dxa"/>
            <w:gridSpan w:val="2"/>
            <w:vAlign w:val="center"/>
          </w:tcPr>
          <w:p w14:paraId="2B9FFA4A">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1758664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695E315A">
            <w:pPr>
              <w:pStyle w:val="42"/>
              <w:rPr>
                <w:color w:val="000000" w:themeColor="text1"/>
                <w14:textFill>
                  <w14:solidFill>
                    <w14:schemeClr w14:val="tx1"/>
                  </w14:solidFill>
                </w14:textFill>
              </w:rPr>
            </w:pPr>
          </w:p>
        </w:tc>
        <w:tc>
          <w:tcPr>
            <w:tcW w:w="720" w:type="dxa"/>
            <w:vAlign w:val="center"/>
          </w:tcPr>
          <w:p w14:paraId="123AB2F4">
            <w:pPr>
              <w:pStyle w:val="42"/>
              <w:rPr>
                <w:color w:val="000000" w:themeColor="text1"/>
                <w14:textFill>
                  <w14:solidFill>
                    <w14:schemeClr w14:val="tx1"/>
                  </w14:solidFill>
                </w14:textFill>
              </w:rPr>
            </w:pPr>
          </w:p>
        </w:tc>
      </w:tr>
      <w:tr w14:paraId="5FC55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4B9E6718">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3A0D5B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48F13318">
            <w:pPr>
              <w:pStyle w:val="42"/>
              <w:rPr>
                <w:color w:val="000000" w:themeColor="text1"/>
                <w14:textFill>
                  <w14:solidFill>
                    <w14:schemeClr w14:val="tx1"/>
                  </w14:solidFill>
                </w14:textFill>
              </w:rPr>
            </w:pPr>
          </w:p>
        </w:tc>
        <w:tc>
          <w:tcPr>
            <w:tcW w:w="720" w:type="dxa"/>
            <w:vAlign w:val="center"/>
          </w:tcPr>
          <w:p w14:paraId="404A9AC2">
            <w:pPr>
              <w:pStyle w:val="42"/>
              <w:rPr>
                <w:color w:val="000000" w:themeColor="text1"/>
                <w14:textFill>
                  <w14:solidFill>
                    <w14:schemeClr w14:val="tx1"/>
                  </w14:solidFill>
                </w14:textFill>
              </w:rPr>
            </w:pPr>
          </w:p>
        </w:tc>
      </w:tr>
    </w:tbl>
    <w:p w14:paraId="71DADEDE">
      <w:pPr>
        <w:rPr>
          <w:color w:val="000000" w:themeColor="text1"/>
          <w14:textFill>
            <w14:solidFill>
              <w14:schemeClr w14:val="tx1"/>
            </w14:solidFill>
          </w14:textFill>
        </w:rPr>
      </w:pPr>
    </w:p>
    <w:p w14:paraId="2DDCCA61">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4" w:name="_Toc13545"/>
      <w:bookmarkStart w:id="5" w:name="_Toc13427"/>
      <w:bookmarkStart w:id="6" w:name="_Toc30443"/>
      <w:r>
        <w:rPr>
          <w:rFonts w:hint="eastAsia"/>
          <w:color w:val="000000" w:themeColor="text1"/>
          <w14:textFill>
            <w14:solidFill>
              <w14:schemeClr w14:val="tx1"/>
            </w14:solidFill>
          </w14:textFill>
        </w:rPr>
        <w:t>表</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文明施工检查</w:t>
      </w:r>
      <w:r>
        <w:rPr>
          <w:color w:val="000000" w:themeColor="text1"/>
          <w14:textFill>
            <w14:solidFill>
              <w14:schemeClr w14:val="tx1"/>
            </w14:solidFill>
          </w14:textFill>
        </w:rPr>
        <w:t>评分表</w:t>
      </w:r>
      <w:bookmarkEnd w:id="4"/>
      <w:bookmarkEnd w:id="5"/>
      <w:bookmarkEnd w:id="6"/>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1658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1B25850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670AA7B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311894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1A53B5D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0DAD7C6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018664D3">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35601772">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48731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5B863D7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639E790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 证 项 目</w:t>
            </w:r>
          </w:p>
        </w:tc>
        <w:tc>
          <w:tcPr>
            <w:tcW w:w="898" w:type="dxa"/>
            <w:vAlign w:val="center"/>
          </w:tcPr>
          <w:p w14:paraId="5838910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现场围挡</w:t>
            </w:r>
          </w:p>
        </w:tc>
        <w:tc>
          <w:tcPr>
            <w:tcW w:w="5580" w:type="dxa"/>
            <w:vAlign w:val="center"/>
          </w:tcPr>
          <w:p w14:paraId="7BBA4E9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1）市区主要路段的施工现场未设封闭围挡，扣10分；围挡高度低于2.5m，扣5-10分</w:t>
            </w:r>
          </w:p>
          <w:p w14:paraId="299962B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2）一般路段的施工现场未设封闭围挡，扣10分；围挡高度低于1.8m，扣5-10分</w:t>
            </w:r>
          </w:p>
          <w:p w14:paraId="2108A4A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3）围档基础不坚实、牢固，扣5-10分</w:t>
            </w:r>
          </w:p>
          <w:p w14:paraId="0CEC87F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4）围挡立面不顺直、整洁、美观，扣5分</w:t>
            </w:r>
          </w:p>
        </w:tc>
        <w:tc>
          <w:tcPr>
            <w:tcW w:w="720" w:type="dxa"/>
            <w:vAlign w:val="center"/>
          </w:tcPr>
          <w:p w14:paraId="2ABBF85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C9177C1">
            <w:pPr>
              <w:pStyle w:val="42"/>
              <w:rPr>
                <w:color w:val="000000" w:themeColor="text1"/>
                <w14:textFill>
                  <w14:solidFill>
                    <w14:schemeClr w14:val="tx1"/>
                  </w14:solidFill>
                </w14:textFill>
              </w:rPr>
            </w:pPr>
          </w:p>
        </w:tc>
        <w:tc>
          <w:tcPr>
            <w:tcW w:w="720" w:type="dxa"/>
            <w:vAlign w:val="center"/>
          </w:tcPr>
          <w:p w14:paraId="5BCD715C">
            <w:pPr>
              <w:pStyle w:val="42"/>
              <w:rPr>
                <w:color w:val="000000" w:themeColor="text1"/>
                <w14:textFill>
                  <w14:solidFill>
                    <w14:schemeClr w14:val="tx1"/>
                  </w14:solidFill>
                </w14:textFill>
              </w:rPr>
            </w:pPr>
          </w:p>
        </w:tc>
      </w:tr>
      <w:tr w14:paraId="7134E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50EEAD7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59C769C5">
            <w:pPr>
              <w:pStyle w:val="42"/>
              <w:rPr>
                <w:color w:val="000000" w:themeColor="text1"/>
                <w14:textFill>
                  <w14:solidFill>
                    <w14:schemeClr w14:val="tx1"/>
                  </w14:solidFill>
                </w14:textFill>
              </w:rPr>
            </w:pPr>
          </w:p>
        </w:tc>
        <w:tc>
          <w:tcPr>
            <w:tcW w:w="898" w:type="dxa"/>
            <w:vAlign w:val="center"/>
          </w:tcPr>
          <w:p w14:paraId="3A9E370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封闭管理</w:t>
            </w:r>
          </w:p>
        </w:tc>
        <w:tc>
          <w:tcPr>
            <w:tcW w:w="5580" w:type="dxa"/>
            <w:vAlign w:val="center"/>
          </w:tcPr>
          <w:p w14:paraId="668ABE2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1）施工现场进出口未设置大门，扣10分</w:t>
            </w:r>
          </w:p>
          <w:p w14:paraId="3320653A">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2）大门未设置门卫值班室，扣5分</w:t>
            </w:r>
          </w:p>
          <w:p w14:paraId="549233D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3）施工现场未建立门卫值守制度或未配备门卫值守人员，扣5分</w:t>
            </w:r>
          </w:p>
          <w:p w14:paraId="3FAD207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4）施工机械、外来人员出入未登记，扣5分</w:t>
            </w:r>
          </w:p>
          <w:p w14:paraId="381192E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5）施工人员进入施工现场未按规定佩戴工作卡或其他有效证件，每人次扣2分</w:t>
            </w:r>
          </w:p>
        </w:tc>
        <w:tc>
          <w:tcPr>
            <w:tcW w:w="720" w:type="dxa"/>
            <w:vAlign w:val="center"/>
          </w:tcPr>
          <w:p w14:paraId="41D0B18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0002882">
            <w:pPr>
              <w:pStyle w:val="42"/>
              <w:rPr>
                <w:color w:val="000000" w:themeColor="text1"/>
                <w14:textFill>
                  <w14:solidFill>
                    <w14:schemeClr w14:val="tx1"/>
                  </w14:solidFill>
                </w14:textFill>
              </w:rPr>
            </w:pPr>
          </w:p>
        </w:tc>
        <w:tc>
          <w:tcPr>
            <w:tcW w:w="720" w:type="dxa"/>
            <w:vAlign w:val="center"/>
          </w:tcPr>
          <w:p w14:paraId="4B70BAC0">
            <w:pPr>
              <w:pStyle w:val="42"/>
              <w:rPr>
                <w:color w:val="000000" w:themeColor="text1"/>
                <w14:textFill>
                  <w14:solidFill>
                    <w14:schemeClr w14:val="tx1"/>
                  </w14:solidFill>
                </w14:textFill>
              </w:rPr>
            </w:pPr>
          </w:p>
        </w:tc>
      </w:tr>
      <w:tr w14:paraId="023C6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D198D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516694A4">
            <w:pPr>
              <w:pStyle w:val="42"/>
              <w:rPr>
                <w:color w:val="000000" w:themeColor="text1"/>
                <w14:textFill>
                  <w14:solidFill>
                    <w14:schemeClr w14:val="tx1"/>
                  </w14:solidFill>
                </w14:textFill>
              </w:rPr>
            </w:pPr>
          </w:p>
        </w:tc>
        <w:tc>
          <w:tcPr>
            <w:tcW w:w="898" w:type="dxa"/>
            <w:vAlign w:val="center"/>
          </w:tcPr>
          <w:p w14:paraId="1936ABA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绿色施工</w:t>
            </w:r>
          </w:p>
        </w:tc>
        <w:tc>
          <w:tcPr>
            <w:tcW w:w="5580" w:type="dxa"/>
            <w:vAlign w:val="center"/>
          </w:tcPr>
          <w:p w14:paraId="5CC0441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1）施工便道未成环路布置或不畅通，扣5分；</w:t>
            </w:r>
          </w:p>
          <w:p w14:paraId="3532220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2）路面不平整坚实，扣5分</w:t>
            </w:r>
          </w:p>
          <w:p w14:paraId="44210B8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3）未按规定安装电子监控设施，扣5分</w:t>
            </w:r>
          </w:p>
          <w:p w14:paraId="1AE4EFE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4）主要道路、出入口和材料加工区地面未进行硬化处理，扣10分</w:t>
            </w:r>
          </w:p>
          <w:p w14:paraId="636E254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5）无防扬尘措施，扣5分</w:t>
            </w:r>
          </w:p>
          <w:p w14:paraId="3F3889F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6）无排水设施或排水不通畅，扣5分</w:t>
            </w:r>
          </w:p>
          <w:p w14:paraId="3E5A8A7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7）无防止泥浆、污水、废弃物污染环境或堵塞下水（河）道的措施，扣5-10分</w:t>
            </w:r>
          </w:p>
          <w:p w14:paraId="6FCAB10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8）温暖季节无绿化布置，扣3分</w:t>
            </w:r>
          </w:p>
          <w:p w14:paraId="1B950C6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9）裸露场地和集中堆放的土方无覆盖、固化或绿化等措施，扣5分；</w:t>
            </w:r>
          </w:p>
          <w:p w14:paraId="4505A99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10）施工现场出入口处未设置车辆冲洗设施，扣5分</w:t>
            </w:r>
          </w:p>
          <w:p w14:paraId="59495DD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11）施工现场未设置吸烟区，扣5分</w:t>
            </w:r>
          </w:p>
        </w:tc>
        <w:tc>
          <w:tcPr>
            <w:tcW w:w="720" w:type="dxa"/>
            <w:vAlign w:val="center"/>
          </w:tcPr>
          <w:p w14:paraId="351B12F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54D0D37">
            <w:pPr>
              <w:pStyle w:val="42"/>
              <w:rPr>
                <w:color w:val="000000" w:themeColor="text1"/>
                <w14:textFill>
                  <w14:solidFill>
                    <w14:schemeClr w14:val="tx1"/>
                  </w14:solidFill>
                </w14:textFill>
              </w:rPr>
            </w:pPr>
          </w:p>
        </w:tc>
        <w:tc>
          <w:tcPr>
            <w:tcW w:w="720" w:type="dxa"/>
            <w:vAlign w:val="center"/>
          </w:tcPr>
          <w:p w14:paraId="3E33722B">
            <w:pPr>
              <w:pStyle w:val="42"/>
              <w:rPr>
                <w:color w:val="000000" w:themeColor="text1"/>
                <w14:textFill>
                  <w14:solidFill>
                    <w14:schemeClr w14:val="tx1"/>
                  </w14:solidFill>
                </w14:textFill>
              </w:rPr>
            </w:pPr>
          </w:p>
        </w:tc>
      </w:tr>
      <w:tr w14:paraId="3DCAE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63E08A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4E55FE7B">
            <w:pPr>
              <w:pStyle w:val="42"/>
              <w:rPr>
                <w:color w:val="000000" w:themeColor="text1"/>
                <w14:textFill>
                  <w14:solidFill>
                    <w14:schemeClr w14:val="tx1"/>
                  </w14:solidFill>
                </w14:textFill>
              </w:rPr>
            </w:pPr>
          </w:p>
        </w:tc>
        <w:tc>
          <w:tcPr>
            <w:tcW w:w="898" w:type="dxa"/>
            <w:vAlign w:val="center"/>
          </w:tcPr>
          <w:p w14:paraId="61001DE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材料管理</w:t>
            </w:r>
          </w:p>
        </w:tc>
        <w:tc>
          <w:tcPr>
            <w:tcW w:w="5580" w:type="dxa"/>
            <w:vAlign w:val="center"/>
          </w:tcPr>
          <w:p w14:paraId="12E2C30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1）建筑材料、构件未按施工现场平面布置图分类堆放，扣5分</w:t>
            </w:r>
          </w:p>
          <w:p w14:paraId="48506F9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2）建筑材料堆码不整齐或未悬挂标志牌，扣5分；标志牌未标明名称、规格，扣2分</w:t>
            </w:r>
          </w:p>
          <w:p w14:paraId="568A743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3）材料堆码未采取防火、防锈蚀、防雨等措施，扣5-10分</w:t>
            </w:r>
          </w:p>
          <w:p w14:paraId="42A0BE4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4）易燃易爆物品未分类储藏在专用库房内，扣10分</w:t>
            </w:r>
          </w:p>
          <w:p w14:paraId="7789E62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5）库房安全距离不符合标准要求，扣10分</w:t>
            </w:r>
          </w:p>
          <w:p w14:paraId="3786C5A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6）未制定防火措施，扣5分</w:t>
            </w:r>
          </w:p>
          <w:p w14:paraId="71B43C8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7）建筑垃圾未及时清理或堆放混乱，扣5分</w:t>
            </w:r>
          </w:p>
        </w:tc>
        <w:tc>
          <w:tcPr>
            <w:tcW w:w="720" w:type="dxa"/>
            <w:vAlign w:val="center"/>
          </w:tcPr>
          <w:p w14:paraId="756DE3C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16C14051">
            <w:pPr>
              <w:pStyle w:val="42"/>
              <w:rPr>
                <w:color w:val="000000" w:themeColor="text1"/>
                <w14:textFill>
                  <w14:solidFill>
                    <w14:schemeClr w14:val="tx1"/>
                  </w14:solidFill>
                </w14:textFill>
              </w:rPr>
            </w:pPr>
          </w:p>
        </w:tc>
        <w:tc>
          <w:tcPr>
            <w:tcW w:w="720" w:type="dxa"/>
            <w:vAlign w:val="center"/>
          </w:tcPr>
          <w:p w14:paraId="28691887">
            <w:pPr>
              <w:pStyle w:val="42"/>
              <w:rPr>
                <w:color w:val="000000" w:themeColor="text1"/>
                <w14:textFill>
                  <w14:solidFill>
                    <w14:schemeClr w14:val="tx1"/>
                  </w14:solidFill>
                </w14:textFill>
              </w:rPr>
            </w:pPr>
          </w:p>
        </w:tc>
      </w:tr>
      <w:tr w14:paraId="17DAA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7CBD9CE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471F66F5">
            <w:pPr>
              <w:pStyle w:val="42"/>
              <w:rPr>
                <w:color w:val="000000" w:themeColor="text1"/>
                <w14:textFill>
                  <w14:solidFill>
                    <w14:schemeClr w14:val="tx1"/>
                  </w14:solidFill>
                </w14:textFill>
              </w:rPr>
            </w:pPr>
          </w:p>
        </w:tc>
        <w:tc>
          <w:tcPr>
            <w:tcW w:w="898" w:type="dxa"/>
            <w:vAlign w:val="center"/>
          </w:tcPr>
          <w:p w14:paraId="40F9458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防火管理</w:t>
            </w:r>
          </w:p>
        </w:tc>
        <w:tc>
          <w:tcPr>
            <w:tcW w:w="5580" w:type="dxa"/>
            <w:vAlign w:val="center"/>
          </w:tcPr>
          <w:p w14:paraId="6327A35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1）未建立消防安全管理制度，扣10分；制度内容不完善扣5分</w:t>
            </w:r>
          </w:p>
          <w:p w14:paraId="7E0A966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2）临时用房和作业场所的防火设计不符合标准要求，扣10分</w:t>
            </w:r>
          </w:p>
          <w:p w14:paraId="79C5406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3）未设置消防通道、消防水源，扣10分，设置不符合标准要求，扣5-10分</w:t>
            </w:r>
          </w:p>
          <w:p w14:paraId="4E8FA47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4)施工现场灭火器材布局、配置不合理或灭火器材失效，扣5分</w:t>
            </w:r>
          </w:p>
          <w:p w14:paraId="2213D29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5）动火作业未办理动火审批手续或无动火监护人，扣5-10分</w:t>
            </w:r>
          </w:p>
          <w:p w14:paraId="21331D0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6）动火人员未取得相应资格；</w:t>
            </w:r>
          </w:p>
          <w:p w14:paraId="5D8CEE9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7）未定期组织火灾疏散演练或无相关记录，扣5分</w:t>
            </w:r>
          </w:p>
        </w:tc>
        <w:tc>
          <w:tcPr>
            <w:tcW w:w="720" w:type="dxa"/>
            <w:vAlign w:val="center"/>
          </w:tcPr>
          <w:p w14:paraId="6A39AD7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524E9662">
            <w:pPr>
              <w:pStyle w:val="42"/>
              <w:rPr>
                <w:color w:val="000000" w:themeColor="text1"/>
                <w14:textFill>
                  <w14:solidFill>
                    <w14:schemeClr w14:val="tx1"/>
                  </w14:solidFill>
                </w14:textFill>
              </w:rPr>
            </w:pPr>
          </w:p>
        </w:tc>
        <w:tc>
          <w:tcPr>
            <w:tcW w:w="720" w:type="dxa"/>
            <w:vAlign w:val="center"/>
          </w:tcPr>
          <w:p w14:paraId="262F5B7D">
            <w:pPr>
              <w:pStyle w:val="42"/>
              <w:rPr>
                <w:color w:val="000000" w:themeColor="text1"/>
                <w14:textFill>
                  <w14:solidFill>
                    <w14:schemeClr w14:val="tx1"/>
                  </w14:solidFill>
                </w14:textFill>
              </w:rPr>
            </w:pPr>
          </w:p>
        </w:tc>
      </w:tr>
      <w:tr w14:paraId="1CA68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6E95EC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3F0E5296">
            <w:pPr>
              <w:pStyle w:val="42"/>
              <w:rPr>
                <w:color w:val="000000" w:themeColor="text1"/>
                <w14:textFill>
                  <w14:solidFill>
                    <w14:schemeClr w14:val="tx1"/>
                  </w14:solidFill>
                </w14:textFill>
              </w:rPr>
            </w:pPr>
          </w:p>
        </w:tc>
        <w:tc>
          <w:tcPr>
            <w:tcW w:w="898" w:type="dxa"/>
            <w:vAlign w:val="center"/>
          </w:tcPr>
          <w:p w14:paraId="0F35AE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现场办公与住宿</w:t>
            </w:r>
          </w:p>
        </w:tc>
        <w:tc>
          <w:tcPr>
            <w:tcW w:w="5580" w:type="dxa"/>
            <w:vAlign w:val="center"/>
          </w:tcPr>
          <w:p w14:paraId="5428EE6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1）办公区、生活区与作业区未采取隔离措施，扣10分</w:t>
            </w:r>
          </w:p>
          <w:p w14:paraId="35DC913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2）伙房、库房、尚未竣工的建筑物兼作宿舍使用，扣10分</w:t>
            </w:r>
          </w:p>
          <w:p w14:paraId="455DE71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3）宿舍未设置可开启窗户，扣5分</w:t>
            </w:r>
          </w:p>
          <w:p w14:paraId="2E1B2EF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4）宿舍未设置床铺、床铺超过2层或通道宽度小于0.9m，扣2-6分</w:t>
            </w:r>
          </w:p>
          <w:p w14:paraId="65BE158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5）宿舍人均面积或居住人数不符合规定，扣5分</w:t>
            </w:r>
          </w:p>
          <w:p w14:paraId="5ED184E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6）宿舍内违章私拉乱接电线，使用大功率用电设备和明火，扣10分</w:t>
            </w:r>
          </w:p>
          <w:p w14:paraId="24125B6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7）宿舍无冬季保暖、夏季消暑、防煤气中毒、防蚊虫叮咬等措施，扣5分</w:t>
            </w:r>
          </w:p>
          <w:p w14:paraId="691554E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8）住宿、办公用房使用前未按规定履行验收程序，办理验收手续，扣10分 </w:t>
            </w:r>
          </w:p>
          <w:p w14:paraId="5B9BE44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9）职工宿舍未实行集中管理，扣5分</w:t>
            </w:r>
          </w:p>
          <w:p w14:paraId="1F50A2E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10）住宿人员信息未实行登记管理，扣5分</w:t>
            </w:r>
          </w:p>
          <w:p w14:paraId="42F530D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11）生活用品摆放凌乱或环境卫生较差，扣3分</w:t>
            </w:r>
          </w:p>
        </w:tc>
        <w:tc>
          <w:tcPr>
            <w:tcW w:w="720" w:type="dxa"/>
            <w:vAlign w:val="center"/>
          </w:tcPr>
          <w:p w14:paraId="0886F5C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67B403A">
            <w:pPr>
              <w:pStyle w:val="42"/>
              <w:rPr>
                <w:color w:val="000000" w:themeColor="text1"/>
                <w14:textFill>
                  <w14:solidFill>
                    <w14:schemeClr w14:val="tx1"/>
                  </w14:solidFill>
                </w14:textFill>
              </w:rPr>
            </w:pPr>
          </w:p>
        </w:tc>
        <w:tc>
          <w:tcPr>
            <w:tcW w:w="720" w:type="dxa"/>
            <w:vAlign w:val="center"/>
          </w:tcPr>
          <w:p w14:paraId="68B1288C">
            <w:pPr>
              <w:pStyle w:val="42"/>
              <w:rPr>
                <w:color w:val="000000" w:themeColor="text1"/>
                <w14:textFill>
                  <w14:solidFill>
                    <w14:schemeClr w14:val="tx1"/>
                  </w14:solidFill>
                </w14:textFill>
              </w:rPr>
            </w:pPr>
          </w:p>
        </w:tc>
      </w:tr>
      <w:tr w14:paraId="2009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329D4D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43" w:type="dxa"/>
            <w:vMerge w:val="continue"/>
            <w:vAlign w:val="center"/>
          </w:tcPr>
          <w:p w14:paraId="7E57BC67">
            <w:pPr>
              <w:pStyle w:val="42"/>
              <w:rPr>
                <w:color w:val="000000" w:themeColor="text1"/>
                <w14:textFill>
                  <w14:solidFill>
                    <w14:schemeClr w14:val="tx1"/>
                  </w14:solidFill>
                </w14:textFill>
              </w:rPr>
            </w:pPr>
          </w:p>
        </w:tc>
        <w:tc>
          <w:tcPr>
            <w:tcW w:w="898" w:type="dxa"/>
            <w:vAlign w:val="center"/>
          </w:tcPr>
          <w:p w14:paraId="40E82BA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交通疏导</w:t>
            </w:r>
          </w:p>
        </w:tc>
        <w:tc>
          <w:tcPr>
            <w:tcW w:w="5580" w:type="dxa"/>
            <w:vAlign w:val="center"/>
          </w:tcPr>
          <w:p w14:paraId="4B04943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1）占用、挖掘道路未按规定设置交通疏解告示、行人绕行提示、文明施工用语等标志，扣5分</w:t>
            </w:r>
          </w:p>
          <w:p w14:paraId="5B60566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2）道路、基坑边围墙外侧未设置防止来车碰撞墩或交通警示灯，扣10分</w:t>
            </w:r>
          </w:p>
          <w:p w14:paraId="651260D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3）基坑上车行便桥未设置限载、限速和禁止超车、停车等标志，扣10分</w:t>
            </w:r>
          </w:p>
          <w:p w14:paraId="70D0932A">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4）临时改道未按规定设置导向、减速设施及标志标线，扣10分</w:t>
            </w:r>
          </w:p>
        </w:tc>
        <w:tc>
          <w:tcPr>
            <w:tcW w:w="720" w:type="dxa"/>
            <w:vAlign w:val="center"/>
          </w:tcPr>
          <w:p w14:paraId="755F41B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6D4F2D8E">
            <w:pPr>
              <w:pStyle w:val="42"/>
              <w:rPr>
                <w:color w:val="000000" w:themeColor="text1"/>
                <w14:textFill>
                  <w14:solidFill>
                    <w14:schemeClr w14:val="tx1"/>
                  </w14:solidFill>
                </w14:textFill>
              </w:rPr>
            </w:pPr>
          </w:p>
        </w:tc>
        <w:tc>
          <w:tcPr>
            <w:tcW w:w="720" w:type="dxa"/>
            <w:vAlign w:val="center"/>
          </w:tcPr>
          <w:p w14:paraId="2647E1C4">
            <w:pPr>
              <w:pStyle w:val="42"/>
              <w:rPr>
                <w:color w:val="000000" w:themeColor="text1"/>
                <w14:textFill>
                  <w14:solidFill>
                    <w14:schemeClr w14:val="tx1"/>
                  </w14:solidFill>
                </w14:textFill>
              </w:rPr>
            </w:pPr>
          </w:p>
        </w:tc>
      </w:tr>
      <w:tr w14:paraId="5D03C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69F181D">
            <w:pPr>
              <w:pStyle w:val="42"/>
              <w:rPr>
                <w:color w:val="000000" w:themeColor="text1"/>
                <w14:textFill>
                  <w14:solidFill>
                    <w14:schemeClr w14:val="tx1"/>
                  </w14:solidFill>
                </w14:textFill>
              </w:rPr>
            </w:pPr>
          </w:p>
        </w:tc>
        <w:tc>
          <w:tcPr>
            <w:tcW w:w="543" w:type="dxa"/>
            <w:vMerge w:val="continue"/>
          </w:tcPr>
          <w:p w14:paraId="1A6E4E0D">
            <w:pPr>
              <w:pStyle w:val="42"/>
              <w:rPr>
                <w:color w:val="000000" w:themeColor="text1"/>
                <w14:textFill>
                  <w14:solidFill>
                    <w14:schemeClr w14:val="tx1"/>
                  </w14:solidFill>
                </w14:textFill>
              </w:rPr>
            </w:pPr>
          </w:p>
        </w:tc>
        <w:tc>
          <w:tcPr>
            <w:tcW w:w="6478" w:type="dxa"/>
            <w:gridSpan w:val="2"/>
            <w:vAlign w:val="center"/>
          </w:tcPr>
          <w:p w14:paraId="28475E5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219A149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1D3E21D7">
            <w:pPr>
              <w:pStyle w:val="42"/>
              <w:rPr>
                <w:color w:val="000000" w:themeColor="text1"/>
                <w14:textFill>
                  <w14:solidFill>
                    <w14:schemeClr w14:val="tx1"/>
                  </w14:solidFill>
                </w14:textFill>
              </w:rPr>
            </w:pPr>
          </w:p>
        </w:tc>
        <w:tc>
          <w:tcPr>
            <w:tcW w:w="720" w:type="dxa"/>
            <w:vAlign w:val="center"/>
          </w:tcPr>
          <w:p w14:paraId="37E95E0C">
            <w:pPr>
              <w:pStyle w:val="42"/>
              <w:rPr>
                <w:color w:val="000000" w:themeColor="text1"/>
                <w14:textFill>
                  <w14:solidFill>
                    <w14:schemeClr w14:val="tx1"/>
                  </w14:solidFill>
                </w14:textFill>
              </w:rPr>
            </w:pPr>
          </w:p>
        </w:tc>
      </w:tr>
      <w:tr w14:paraId="48B7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DBE328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7A56020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7F5F574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50DAAD2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D3FF8E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31DAC9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施工现场标牌</w:t>
            </w:r>
          </w:p>
        </w:tc>
        <w:tc>
          <w:tcPr>
            <w:tcW w:w="5580" w:type="dxa"/>
            <w:vAlign w:val="center"/>
          </w:tcPr>
          <w:p w14:paraId="5321385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1）施工现场出入口未标有企业名称或企业标志，扣5分</w:t>
            </w:r>
          </w:p>
          <w:p w14:paraId="473C592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2）未在施工现场大门口处明显位置设置公示标牌，扣5分，公示标牌内容不全面，扣2-5分</w:t>
            </w:r>
          </w:p>
          <w:p w14:paraId="0E984BCE">
            <w:pPr>
              <w:rPr>
                <w:rFonts w:eastAsia="宋体" w:cs="宋体"/>
                <w:bCs/>
                <w:color w:val="000000" w:themeColor="text1"/>
                <w:kern w:val="0"/>
                <w:sz w:val="21"/>
                <w:szCs w:val="21"/>
                <w14:textFill>
                  <w14:solidFill>
                    <w14:schemeClr w14:val="tx1"/>
                  </w14:solidFill>
                </w14:textFill>
              </w:rPr>
            </w:pPr>
            <w:r>
              <w:rPr>
                <w:rFonts w:hint="eastAsia" w:eastAsia="宋体" w:cs="宋体"/>
                <w:bCs/>
                <w:color w:val="000000" w:themeColor="text1"/>
                <w:kern w:val="0"/>
                <w:sz w:val="21"/>
                <w:szCs w:val="21"/>
                <w14:textFill>
                  <w14:solidFill>
                    <w14:schemeClr w14:val="tx1"/>
                  </w14:solidFill>
                </w14:textFill>
              </w:rPr>
              <w:t>3）标牌不规范、整齐、统一，扣3分；</w:t>
            </w:r>
          </w:p>
          <w:p w14:paraId="224F85A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4）未设置禁止标志、警示标志、指令标志、提示标志，扣5分，未配以相应的安全标语，扣2-3分</w:t>
            </w:r>
          </w:p>
          <w:p w14:paraId="6639784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5）未设置宣传栏、黑板报、读报栏，扣5分</w:t>
            </w:r>
          </w:p>
        </w:tc>
        <w:tc>
          <w:tcPr>
            <w:tcW w:w="720" w:type="dxa"/>
            <w:vAlign w:val="center"/>
          </w:tcPr>
          <w:p w14:paraId="775B284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720" w:type="dxa"/>
            <w:vAlign w:val="center"/>
          </w:tcPr>
          <w:p w14:paraId="5F52431C">
            <w:pPr>
              <w:pStyle w:val="42"/>
              <w:rPr>
                <w:color w:val="000000" w:themeColor="text1"/>
                <w14:textFill>
                  <w14:solidFill>
                    <w14:schemeClr w14:val="tx1"/>
                  </w14:solidFill>
                </w14:textFill>
              </w:rPr>
            </w:pPr>
          </w:p>
        </w:tc>
        <w:tc>
          <w:tcPr>
            <w:tcW w:w="720" w:type="dxa"/>
            <w:vAlign w:val="center"/>
          </w:tcPr>
          <w:p w14:paraId="20DC58F0">
            <w:pPr>
              <w:pStyle w:val="42"/>
              <w:rPr>
                <w:color w:val="000000" w:themeColor="text1"/>
                <w14:textFill>
                  <w14:solidFill>
                    <w14:schemeClr w14:val="tx1"/>
                  </w14:solidFill>
                </w14:textFill>
              </w:rPr>
            </w:pPr>
          </w:p>
        </w:tc>
      </w:tr>
      <w:tr w14:paraId="24DF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C7C2A0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238F41BA">
            <w:pPr>
              <w:pStyle w:val="42"/>
              <w:rPr>
                <w:color w:val="000000" w:themeColor="text1"/>
                <w14:textFill>
                  <w14:solidFill>
                    <w14:schemeClr w14:val="tx1"/>
                  </w14:solidFill>
                </w14:textFill>
              </w:rPr>
            </w:pPr>
          </w:p>
        </w:tc>
        <w:tc>
          <w:tcPr>
            <w:tcW w:w="898" w:type="dxa"/>
            <w:vAlign w:val="center"/>
          </w:tcPr>
          <w:p w14:paraId="39BB757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保健急救</w:t>
            </w:r>
          </w:p>
        </w:tc>
        <w:tc>
          <w:tcPr>
            <w:tcW w:w="5580" w:type="dxa"/>
            <w:vAlign w:val="center"/>
          </w:tcPr>
          <w:p w14:paraId="15D879D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1）无急救措施，未配保健备医药箱和急救器材，扣5分</w:t>
            </w:r>
          </w:p>
          <w:p w14:paraId="51A2D599">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2）未配备经培训合格的急救人员，扣5分</w:t>
            </w:r>
          </w:p>
          <w:p w14:paraId="14F7B2F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3）未开展卫生防病宣传教育，扣5分</w:t>
            </w:r>
          </w:p>
        </w:tc>
        <w:tc>
          <w:tcPr>
            <w:tcW w:w="720" w:type="dxa"/>
            <w:vAlign w:val="center"/>
          </w:tcPr>
          <w:p w14:paraId="3BBDAC0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720" w:type="dxa"/>
            <w:vAlign w:val="center"/>
          </w:tcPr>
          <w:p w14:paraId="3AADF31D">
            <w:pPr>
              <w:pStyle w:val="42"/>
              <w:rPr>
                <w:color w:val="000000" w:themeColor="text1"/>
                <w14:textFill>
                  <w14:solidFill>
                    <w14:schemeClr w14:val="tx1"/>
                  </w14:solidFill>
                </w14:textFill>
              </w:rPr>
            </w:pPr>
          </w:p>
        </w:tc>
        <w:tc>
          <w:tcPr>
            <w:tcW w:w="720" w:type="dxa"/>
            <w:vAlign w:val="center"/>
          </w:tcPr>
          <w:p w14:paraId="2766EF0D">
            <w:pPr>
              <w:pStyle w:val="42"/>
              <w:rPr>
                <w:color w:val="000000" w:themeColor="text1"/>
                <w14:textFill>
                  <w14:solidFill>
                    <w14:schemeClr w14:val="tx1"/>
                  </w14:solidFill>
                </w14:textFill>
              </w:rPr>
            </w:pPr>
          </w:p>
        </w:tc>
      </w:tr>
      <w:tr w14:paraId="2715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3CFF9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6A0F1B72">
            <w:pPr>
              <w:pStyle w:val="42"/>
              <w:rPr>
                <w:color w:val="000000" w:themeColor="text1"/>
                <w14:textFill>
                  <w14:solidFill>
                    <w14:schemeClr w14:val="tx1"/>
                  </w14:solidFill>
                </w14:textFill>
              </w:rPr>
            </w:pPr>
          </w:p>
        </w:tc>
        <w:tc>
          <w:tcPr>
            <w:tcW w:w="898" w:type="dxa"/>
            <w:vAlign w:val="center"/>
          </w:tcPr>
          <w:p w14:paraId="28474BF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生活设施</w:t>
            </w:r>
          </w:p>
        </w:tc>
        <w:tc>
          <w:tcPr>
            <w:tcW w:w="5580" w:type="dxa"/>
            <w:vAlign w:val="center"/>
          </w:tcPr>
          <w:p w14:paraId="54AFA8E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1）未设置文体活动室、职工夜校等设施，扣5分</w:t>
            </w:r>
          </w:p>
          <w:p w14:paraId="78C8A1F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2）未设置淋浴室，或淋浴室不满足现场人员需求，扣5分</w:t>
            </w:r>
          </w:p>
          <w:p w14:paraId="5957443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3）食堂未建立责任制和卫生管理制度，10分</w:t>
            </w:r>
          </w:p>
          <w:p w14:paraId="405EFEF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4）食堂未吊顶、四周、地面未贴瓷砖、未设排烟设施，每项扣3分</w:t>
            </w:r>
          </w:p>
          <w:p w14:paraId="2BA30E3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5）燃气罐未单独设置存放间，扣5分，存放间通风条件不好，扣2分</w:t>
            </w:r>
          </w:p>
          <w:p w14:paraId="7DB32E0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6）食堂与厕所、垃圾站、有毒有害场所的距离不符合规定，扣2-6分</w:t>
            </w:r>
          </w:p>
          <w:p w14:paraId="7DA49B8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7）食堂未有卫生许可证，扣10分</w:t>
            </w:r>
          </w:p>
          <w:p w14:paraId="39B87B0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8）炊事人员无身体健康证，每人次扣3分</w:t>
            </w:r>
          </w:p>
          <w:p w14:paraId="2BE28D1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9）食堂生熟食未分开存放，扣5分</w:t>
            </w:r>
          </w:p>
          <w:p w14:paraId="26C9508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10）食堂未采取防蝇、蚊、鼠、蟑螂等措施，扣5分</w:t>
            </w:r>
          </w:p>
          <w:p w14:paraId="18EFC12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11）生活区未设置开水炉、电热水器或饮用水保温桶，扣5分</w:t>
            </w:r>
          </w:p>
          <w:p w14:paraId="0974EDC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12）厕所内的设施数量、布局、卫生、排放不符合标准要求，扣5分</w:t>
            </w:r>
          </w:p>
          <w:p w14:paraId="5FEA49B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13）生活垃圾未装入密闭式容器或未及时清理，扣3-5分</w:t>
            </w:r>
          </w:p>
        </w:tc>
        <w:tc>
          <w:tcPr>
            <w:tcW w:w="720" w:type="dxa"/>
            <w:vAlign w:val="center"/>
          </w:tcPr>
          <w:p w14:paraId="0E673DE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32DB292">
            <w:pPr>
              <w:pStyle w:val="42"/>
              <w:rPr>
                <w:color w:val="000000" w:themeColor="text1"/>
                <w14:textFill>
                  <w14:solidFill>
                    <w14:schemeClr w14:val="tx1"/>
                  </w14:solidFill>
                </w14:textFill>
              </w:rPr>
            </w:pPr>
          </w:p>
        </w:tc>
        <w:tc>
          <w:tcPr>
            <w:tcW w:w="720" w:type="dxa"/>
            <w:vAlign w:val="center"/>
          </w:tcPr>
          <w:p w14:paraId="424A9D0B">
            <w:pPr>
              <w:pStyle w:val="42"/>
              <w:rPr>
                <w:color w:val="000000" w:themeColor="text1"/>
                <w14:textFill>
                  <w14:solidFill>
                    <w14:schemeClr w14:val="tx1"/>
                  </w14:solidFill>
                </w14:textFill>
              </w:rPr>
            </w:pPr>
          </w:p>
        </w:tc>
      </w:tr>
      <w:tr w14:paraId="6FD2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973F18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60A81BDD">
            <w:pPr>
              <w:pStyle w:val="42"/>
              <w:rPr>
                <w:color w:val="000000" w:themeColor="text1"/>
                <w14:textFill>
                  <w14:solidFill>
                    <w14:schemeClr w14:val="tx1"/>
                  </w14:solidFill>
                </w14:textFill>
              </w:rPr>
            </w:pPr>
          </w:p>
        </w:tc>
        <w:tc>
          <w:tcPr>
            <w:tcW w:w="898" w:type="dxa"/>
            <w:vAlign w:val="center"/>
          </w:tcPr>
          <w:p w14:paraId="65A47F8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社区服务</w:t>
            </w:r>
          </w:p>
        </w:tc>
        <w:tc>
          <w:tcPr>
            <w:tcW w:w="5580" w:type="dxa"/>
            <w:vAlign w:val="center"/>
          </w:tcPr>
          <w:p w14:paraId="54990F8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1）施工现场未制定防粉尘、防噪音、防废气措施，扣3-8分</w:t>
            </w:r>
          </w:p>
          <w:p w14:paraId="0CE0099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2）施工单位未对古树名木、文物采取保护措施，扣8分</w:t>
            </w:r>
          </w:p>
          <w:p w14:paraId="432D093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3）夜间施工未办理夜间施工许可证，扣10分</w:t>
            </w:r>
          </w:p>
          <w:p w14:paraId="26857B4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4）施工现场焚烧有毒、有害、恶臭的物质，扣5分</w:t>
            </w:r>
          </w:p>
          <w:p w14:paraId="44DFD6B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5）施工现场未制定施工不扰民措施，扣5分</w:t>
            </w:r>
          </w:p>
          <w:p w14:paraId="4770FB6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6）工程竣工后未在规定时间内拆除临时设施、恢复道路，扣5分</w:t>
            </w:r>
          </w:p>
        </w:tc>
        <w:tc>
          <w:tcPr>
            <w:tcW w:w="720" w:type="dxa"/>
            <w:vAlign w:val="center"/>
          </w:tcPr>
          <w:p w14:paraId="33A3E9D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475BE04">
            <w:pPr>
              <w:pStyle w:val="42"/>
              <w:rPr>
                <w:color w:val="000000" w:themeColor="text1"/>
                <w14:textFill>
                  <w14:solidFill>
                    <w14:schemeClr w14:val="tx1"/>
                  </w14:solidFill>
                </w14:textFill>
              </w:rPr>
            </w:pPr>
          </w:p>
        </w:tc>
        <w:tc>
          <w:tcPr>
            <w:tcW w:w="720" w:type="dxa"/>
            <w:vAlign w:val="center"/>
          </w:tcPr>
          <w:p w14:paraId="7400A015">
            <w:pPr>
              <w:pStyle w:val="42"/>
              <w:rPr>
                <w:color w:val="000000" w:themeColor="text1"/>
                <w14:textFill>
                  <w14:solidFill>
                    <w14:schemeClr w14:val="tx1"/>
                  </w14:solidFill>
                </w14:textFill>
              </w:rPr>
            </w:pPr>
          </w:p>
        </w:tc>
      </w:tr>
      <w:tr w14:paraId="49F7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CE2C786">
            <w:pPr>
              <w:pStyle w:val="42"/>
              <w:rPr>
                <w:color w:val="000000" w:themeColor="text1"/>
                <w14:textFill>
                  <w14:solidFill>
                    <w14:schemeClr w14:val="tx1"/>
                  </w14:solidFill>
                </w14:textFill>
              </w:rPr>
            </w:pPr>
          </w:p>
        </w:tc>
        <w:tc>
          <w:tcPr>
            <w:tcW w:w="543" w:type="dxa"/>
            <w:vMerge w:val="continue"/>
          </w:tcPr>
          <w:p w14:paraId="24090BF7">
            <w:pPr>
              <w:pStyle w:val="42"/>
              <w:rPr>
                <w:color w:val="000000" w:themeColor="text1"/>
                <w14:textFill>
                  <w14:solidFill>
                    <w14:schemeClr w14:val="tx1"/>
                  </w14:solidFill>
                </w14:textFill>
              </w:rPr>
            </w:pPr>
          </w:p>
        </w:tc>
        <w:tc>
          <w:tcPr>
            <w:tcW w:w="6478" w:type="dxa"/>
            <w:gridSpan w:val="2"/>
            <w:vAlign w:val="center"/>
          </w:tcPr>
          <w:p w14:paraId="3F98BF68">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76D1FA9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4DE1DC8C">
            <w:pPr>
              <w:pStyle w:val="42"/>
              <w:rPr>
                <w:color w:val="000000" w:themeColor="text1"/>
                <w14:textFill>
                  <w14:solidFill>
                    <w14:schemeClr w14:val="tx1"/>
                  </w14:solidFill>
                </w14:textFill>
              </w:rPr>
            </w:pPr>
          </w:p>
        </w:tc>
        <w:tc>
          <w:tcPr>
            <w:tcW w:w="720" w:type="dxa"/>
            <w:vAlign w:val="center"/>
          </w:tcPr>
          <w:p w14:paraId="69D2A767">
            <w:pPr>
              <w:pStyle w:val="42"/>
              <w:rPr>
                <w:color w:val="000000" w:themeColor="text1"/>
                <w14:textFill>
                  <w14:solidFill>
                    <w14:schemeClr w14:val="tx1"/>
                  </w14:solidFill>
                </w14:textFill>
              </w:rPr>
            </w:pPr>
          </w:p>
        </w:tc>
      </w:tr>
      <w:tr w14:paraId="193F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635DC4E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3C81F86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2187D429">
            <w:pPr>
              <w:pStyle w:val="42"/>
              <w:rPr>
                <w:color w:val="000000" w:themeColor="text1"/>
                <w14:textFill>
                  <w14:solidFill>
                    <w14:schemeClr w14:val="tx1"/>
                  </w14:solidFill>
                </w14:textFill>
              </w:rPr>
            </w:pPr>
          </w:p>
        </w:tc>
        <w:tc>
          <w:tcPr>
            <w:tcW w:w="720" w:type="dxa"/>
            <w:vAlign w:val="center"/>
          </w:tcPr>
          <w:p w14:paraId="32402E53">
            <w:pPr>
              <w:pStyle w:val="42"/>
              <w:rPr>
                <w:color w:val="000000" w:themeColor="text1"/>
                <w14:textFill>
                  <w14:solidFill>
                    <w14:schemeClr w14:val="tx1"/>
                  </w14:solidFill>
                </w14:textFill>
              </w:rPr>
            </w:pPr>
          </w:p>
        </w:tc>
      </w:tr>
    </w:tbl>
    <w:p w14:paraId="220EA641">
      <w:pPr>
        <w:rPr>
          <w:color w:val="000000" w:themeColor="text1"/>
          <w14:textFill>
            <w14:solidFill>
              <w14:schemeClr w14:val="tx1"/>
            </w14:solidFill>
          </w14:textFill>
        </w:rPr>
      </w:pPr>
    </w:p>
    <w:p w14:paraId="00050434">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7" w:name="_Toc13377"/>
      <w:bookmarkStart w:id="8" w:name="_Toc1289"/>
      <w:bookmarkStart w:id="9" w:name="_Toc16278"/>
      <w:r>
        <w:rPr>
          <w:rFonts w:hint="eastAsia"/>
          <w:color w:val="000000" w:themeColor="text1"/>
          <w14:textFill>
            <w14:solidFill>
              <w14:schemeClr w14:val="tx1"/>
            </w14:solidFill>
          </w14:textFill>
        </w:rPr>
        <w:t>表</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高处作业检查</w:t>
      </w:r>
      <w:r>
        <w:rPr>
          <w:color w:val="000000" w:themeColor="text1"/>
          <w14:textFill>
            <w14:solidFill>
              <w14:schemeClr w14:val="tx1"/>
            </w14:solidFill>
          </w14:textFill>
        </w:rPr>
        <w:t>评分表</w:t>
      </w:r>
      <w:bookmarkEnd w:id="7"/>
      <w:bookmarkEnd w:id="8"/>
      <w:bookmarkEnd w:id="9"/>
    </w:p>
    <w:tbl>
      <w:tblPr>
        <w:tblStyle w:val="17"/>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1170"/>
        <w:gridCol w:w="5308"/>
        <w:gridCol w:w="720"/>
        <w:gridCol w:w="720"/>
        <w:gridCol w:w="720"/>
      </w:tblGrid>
      <w:tr w14:paraId="00358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322EB1C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170" w:type="dxa"/>
            <w:vAlign w:val="center"/>
          </w:tcPr>
          <w:p w14:paraId="7B7F31A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308" w:type="dxa"/>
            <w:vAlign w:val="center"/>
          </w:tcPr>
          <w:p w14:paraId="1FEBAC4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10E41BD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329B5CF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7499E38F">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3510C891">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18217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5FC37D0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170" w:type="dxa"/>
            <w:vAlign w:val="center"/>
          </w:tcPr>
          <w:p w14:paraId="661D57C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安全帽</w:t>
            </w:r>
          </w:p>
        </w:tc>
        <w:tc>
          <w:tcPr>
            <w:tcW w:w="5308" w:type="dxa"/>
            <w:vAlign w:val="center"/>
          </w:tcPr>
          <w:p w14:paraId="33C0B30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1）施工现场人员未佩戴安全帽，每人扣5分</w:t>
            </w:r>
          </w:p>
          <w:p w14:paraId="262DC3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2）未按规定正确佩戴安全帽，每人扣2分</w:t>
            </w:r>
          </w:p>
          <w:p w14:paraId="1A6067A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3）安全帽质量不符合现行国家相关标准的要求，扣5分</w:t>
            </w:r>
          </w:p>
        </w:tc>
        <w:tc>
          <w:tcPr>
            <w:tcW w:w="720" w:type="dxa"/>
            <w:vAlign w:val="center"/>
          </w:tcPr>
          <w:p w14:paraId="7FE2557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720" w:type="dxa"/>
            <w:vAlign w:val="center"/>
          </w:tcPr>
          <w:p w14:paraId="279EAAC9">
            <w:pPr>
              <w:pStyle w:val="42"/>
              <w:rPr>
                <w:color w:val="000000" w:themeColor="text1"/>
                <w14:textFill>
                  <w14:solidFill>
                    <w14:schemeClr w14:val="tx1"/>
                  </w14:solidFill>
                </w14:textFill>
              </w:rPr>
            </w:pPr>
          </w:p>
        </w:tc>
        <w:tc>
          <w:tcPr>
            <w:tcW w:w="720" w:type="dxa"/>
            <w:vAlign w:val="center"/>
          </w:tcPr>
          <w:p w14:paraId="45122D50">
            <w:pPr>
              <w:pStyle w:val="42"/>
              <w:rPr>
                <w:color w:val="000000" w:themeColor="text1"/>
                <w14:textFill>
                  <w14:solidFill>
                    <w14:schemeClr w14:val="tx1"/>
                  </w14:solidFill>
                </w14:textFill>
              </w:rPr>
            </w:pPr>
          </w:p>
        </w:tc>
      </w:tr>
      <w:tr w14:paraId="702A2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7B0FAC3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70" w:type="dxa"/>
            <w:vAlign w:val="center"/>
          </w:tcPr>
          <w:p w14:paraId="5CAD17B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安全网</w:t>
            </w:r>
          </w:p>
        </w:tc>
        <w:tc>
          <w:tcPr>
            <w:tcW w:w="5308" w:type="dxa"/>
            <w:vAlign w:val="center"/>
          </w:tcPr>
          <w:p w14:paraId="3EEB25E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1）临边防护栏杆未张挂密目式安全立网或网间连接不紧密，扣2-10分</w:t>
            </w:r>
          </w:p>
          <w:p w14:paraId="0DD727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2）边长大于1500mm的水平洞口位置未张设安全平网，扣10分</w:t>
            </w:r>
          </w:p>
          <w:p w14:paraId="66BE5B2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3）高度超过3.2m无外脚手架的工作面外侧未张设安全平网，扣5分</w:t>
            </w:r>
          </w:p>
          <w:p w14:paraId="391935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4）脚手架与构筑物之间距离超过200mm的间隙未张设安全平网，扣3分</w:t>
            </w:r>
          </w:p>
          <w:p w14:paraId="459214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5）当需采用平网进行防护时采用密目式安全立网代替平网使用，扣10分</w:t>
            </w:r>
          </w:p>
          <w:p w14:paraId="6126BE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6）安全网与支撑件的拉结不牢固</w:t>
            </w:r>
          </w:p>
          <w:p w14:paraId="7C471F0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7）安全网质量不符合现行国家相关标准的要求，扣10分</w:t>
            </w:r>
          </w:p>
        </w:tc>
        <w:tc>
          <w:tcPr>
            <w:tcW w:w="720" w:type="dxa"/>
            <w:vAlign w:val="center"/>
          </w:tcPr>
          <w:p w14:paraId="520B621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05AD78F">
            <w:pPr>
              <w:pStyle w:val="42"/>
              <w:rPr>
                <w:color w:val="000000" w:themeColor="text1"/>
                <w14:textFill>
                  <w14:solidFill>
                    <w14:schemeClr w14:val="tx1"/>
                  </w14:solidFill>
                </w14:textFill>
              </w:rPr>
            </w:pPr>
          </w:p>
        </w:tc>
        <w:tc>
          <w:tcPr>
            <w:tcW w:w="720" w:type="dxa"/>
            <w:vAlign w:val="center"/>
          </w:tcPr>
          <w:p w14:paraId="5F38B45C">
            <w:pPr>
              <w:pStyle w:val="42"/>
              <w:rPr>
                <w:color w:val="000000" w:themeColor="text1"/>
                <w14:textFill>
                  <w14:solidFill>
                    <w14:schemeClr w14:val="tx1"/>
                  </w14:solidFill>
                </w14:textFill>
              </w:rPr>
            </w:pPr>
          </w:p>
        </w:tc>
      </w:tr>
      <w:tr w14:paraId="38E7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E9C409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70" w:type="dxa"/>
            <w:vAlign w:val="center"/>
          </w:tcPr>
          <w:p w14:paraId="4754BE1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安全带</w:t>
            </w:r>
          </w:p>
        </w:tc>
        <w:tc>
          <w:tcPr>
            <w:tcW w:w="5308" w:type="dxa"/>
            <w:vAlign w:val="center"/>
          </w:tcPr>
          <w:p w14:paraId="2AE051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1）高空作业人员未按规定系挂安全带，每人扣5分</w:t>
            </w:r>
          </w:p>
          <w:p w14:paraId="1329B74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2）安全带系挂不符合标准要求，每人扣5分</w:t>
            </w:r>
          </w:p>
          <w:p w14:paraId="5BF4FA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3）安全带质量不符合现行国家相关标准的要求，扣10分</w:t>
            </w:r>
          </w:p>
        </w:tc>
        <w:tc>
          <w:tcPr>
            <w:tcW w:w="720" w:type="dxa"/>
            <w:vAlign w:val="center"/>
          </w:tcPr>
          <w:p w14:paraId="6C5E647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720" w:type="dxa"/>
            <w:vAlign w:val="center"/>
          </w:tcPr>
          <w:p w14:paraId="34941A59">
            <w:pPr>
              <w:pStyle w:val="42"/>
              <w:rPr>
                <w:color w:val="000000" w:themeColor="text1"/>
                <w14:textFill>
                  <w14:solidFill>
                    <w14:schemeClr w14:val="tx1"/>
                  </w14:solidFill>
                </w14:textFill>
              </w:rPr>
            </w:pPr>
          </w:p>
        </w:tc>
        <w:tc>
          <w:tcPr>
            <w:tcW w:w="720" w:type="dxa"/>
            <w:vAlign w:val="center"/>
          </w:tcPr>
          <w:p w14:paraId="4074CE55">
            <w:pPr>
              <w:pStyle w:val="42"/>
              <w:rPr>
                <w:color w:val="000000" w:themeColor="text1"/>
                <w14:textFill>
                  <w14:solidFill>
                    <w14:schemeClr w14:val="tx1"/>
                  </w14:solidFill>
                </w14:textFill>
              </w:rPr>
            </w:pPr>
          </w:p>
        </w:tc>
      </w:tr>
      <w:tr w14:paraId="50CD6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EFED9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70" w:type="dxa"/>
            <w:vAlign w:val="center"/>
          </w:tcPr>
          <w:p w14:paraId="2D7C1CA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防尘口罩</w:t>
            </w:r>
          </w:p>
        </w:tc>
        <w:tc>
          <w:tcPr>
            <w:tcW w:w="5308" w:type="dxa"/>
            <w:vAlign w:val="center"/>
          </w:tcPr>
          <w:p w14:paraId="1A5266A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1）从事钻孔、注浆、喷射混凝土、切割、打磨等扬尘作业的人员未戴防尘口罩，每人扣1分</w:t>
            </w:r>
          </w:p>
          <w:p w14:paraId="54B348E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2）防尘口罩的质量不符合现行国家相关标准的要求，扣3分</w:t>
            </w:r>
          </w:p>
        </w:tc>
        <w:tc>
          <w:tcPr>
            <w:tcW w:w="720" w:type="dxa"/>
            <w:vAlign w:val="center"/>
          </w:tcPr>
          <w:p w14:paraId="69C37EC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720" w:type="dxa"/>
            <w:vAlign w:val="center"/>
          </w:tcPr>
          <w:p w14:paraId="6F9DB83E">
            <w:pPr>
              <w:pStyle w:val="42"/>
              <w:rPr>
                <w:color w:val="000000" w:themeColor="text1"/>
                <w14:textFill>
                  <w14:solidFill>
                    <w14:schemeClr w14:val="tx1"/>
                  </w14:solidFill>
                </w14:textFill>
              </w:rPr>
            </w:pPr>
          </w:p>
        </w:tc>
        <w:tc>
          <w:tcPr>
            <w:tcW w:w="720" w:type="dxa"/>
            <w:vAlign w:val="center"/>
          </w:tcPr>
          <w:p w14:paraId="660B0680">
            <w:pPr>
              <w:pStyle w:val="42"/>
              <w:rPr>
                <w:color w:val="000000" w:themeColor="text1"/>
                <w14:textFill>
                  <w14:solidFill>
                    <w14:schemeClr w14:val="tx1"/>
                  </w14:solidFill>
                </w14:textFill>
              </w:rPr>
            </w:pPr>
          </w:p>
        </w:tc>
      </w:tr>
      <w:tr w14:paraId="6DAF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46DE7F2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70" w:type="dxa"/>
            <w:vAlign w:val="center"/>
          </w:tcPr>
          <w:p w14:paraId="431E99D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临边防护</w:t>
            </w:r>
          </w:p>
        </w:tc>
        <w:tc>
          <w:tcPr>
            <w:tcW w:w="5308" w:type="dxa"/>
            <w:vAlign w:val="center"/>
          </w:tcPr>
          <w:p w14:paraId="438446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1）高度2m以上且无外脚手架的临边作业面边缘未设置临边防护设施，扣10分</w:t>
            </w:r>
          </w:p>
          <w:p w14:paraId="7BD305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2）临边防护设施设置不连续、严密，扣5分</w:t>
            </w:r>
          </w:p>
          <w:p w14:paraId="25DD1E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3）临边防护设施的承载力和构造不符合标准要求，扣5分</w:t>
            </w:r>
          </w:p>
          <w:p w14:paraId="78248E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4）临边防护设施未实现定型化、工具式，扣3分</w:t>
            </w:r>
          </w:p>
          <w:p w14:paraId="5557858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5）临边防护栏杆未设置防物体、火花等坠落的挡脚板或挡脚笆，扣3分</w:t>
            </w:r>
          </w:p>
        </w:tc>
        <w:tc>
          <w:tcPr>
            <w:tcW w:w="720" w:type="dxa"/>
            <w:vAlign w:val="center"/>
          </w:tcPr>
          <w:p w14:paraId="5477D13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22AF7FD1">
            <w:pPr>
              <w:pStyle w:val="42"/>
              <w:rPr>
                <w:color w:val="000000" w:themeColor="text1"/>
                <w14:textFill>
                  <w14:solidFill>
                    <w14:schemeClr w14:val="tx1"/>
                  </w14:solidFill>
                </w14:textFill>
              </w:rPr>
            </w:pPr>
          </w:p>
        </w:tc>
        <w:tc>
          <w:tcPr>
            <w:tcW w:w="720" w:type="dxa"/>
            <w:vAlign w:val="center"/>
          </w:tcPr>
          <w:p w14:paraId="5EE6643A">
            <w:pPr>
              <w:pStyle w:val="42"/>
              <w:rPr>
                <w:color w:val="000000" w:themeColor="text1"/>
                <w14:textFill>
                  <w14:solidFill>
                    <w14:schemeClr w14:val="tx1"/>
                  </w14:solidFill>
                </w14:textFill>
              </w:rPr>
            </w:pPr>
          </w:p>
        </w:tc>
      </w:tr>
      <w:tr w14:paraId="2F8BD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5A7716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1170" w:type="dxa"/>
            <w:vAlign w:val="center"/>
          </w:tcPr>
          <w:p w14:paraId="55847CD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洞口防护</w:t>
            </w:r>
          </w:p>
        </w:tc>
        <w:tc>
          <w:tcPr>
            <w:tcW w:w="5308" w:type="dxa"/>
            <w:vAlign w:val="center"/>
          </w:tcPr>
          <w:p w14:paraId="5857D5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1）各类孔、洞未采取防护措施，每处扣5分</w:t>
            </w:r>
          </w:p>
          <w:p w14:paraId="5D9C9B7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2）孔、洞围挡不严密，每处扣2分</w:t>
            </w:r>
          </w:p>
          <w:p w14:paraId="48877B0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3）洞口防护措施、设施的构造不符合标准要求，每处扣2分</w:t>
            </w:r>
          </w:p>
          <w:p w14:paraId="437B76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4）洞口防护设施未实现定型化、工具式，扣3分</w:t>
            </w:r>
          </w:p>
          <w:p w14:paraId="6EB408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5）电梯井、管道井、风道井内未按每隔2层且不大于10m应设置安全平网防护，扣5分</w:t>
            </w:r>
          </w:p>
          <w:p w14:paraId="3B613A4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6）洞口未在醒目位置设置安全警示牌，夜间应设红灯示警，扣3分</w:t>
            </w:r>
          </w:p>
        </w:tc>
        <w:tc>
          <w:tcPr>
            <w:tcW w:w="720" w:type="dxa"/>
            <w:vAlign w:val="center"/>
          </w:tcPr>
          <w:p w14:paraId="694E07B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6E4CC9ED">
            <w:pPr>
              <w:pStyle w:val="42"/>
              <w:rPr>
                <w:color w:val="000000" w:themeColor="text1"/>
                <w14:textFill>
                  <w14:solidFill>
                    <w14:schemeClr w14:val="tx1"/>
                  </w14:solidFill>
                </w14:textFill>
              </w:rPr>
            </w:pPr>
          </w:p>
        </w:tc>
        <w:tc>
          <w:tcPr>
            <w:tcW w:w="720" w:type="dxa"/>
            <w:vAlign w:val="center"/>
          </w:tcPr>
          <w:p w14:paraId="739F4872">
            <w:pPr>
              <w:pStyle w:val="42"/>
              <w:rPr>
                <w:color w:val="000000" w:themeColor="text1"/>
                <w14:textFill>
                  <w14:solidFill>
                    <w14:schemeClr w14:val="tx1"/>
                  </w14:solidFill>
                </w14:textFill>
              </w:rPr>
            </w:pPr>
          </w:p>
        </w:tc>
      </w:tr>
      <w:tr w14:paraId="001BF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5911E7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1170" w:type="dxa"/>
            <w:vAlign w:val="center"/>
          </w:tcPr>
          <w:p w14:paraId="3A30A29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通道口防护</w:t>
            </w:r>
          </w:p>
        </w:tc>
        <w:tc>
          <w:tcPr>
            <w:tcW w:w="5308" w:type="dxa"/>
            <w:vAlign w:val="center"/>
          </w:tcPr>
          <w:p w14:paraId="1C18338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1）各类人员进出的通道口的上部未设置安全防护棚，或防护不严、不牢固，扣3-8分</w:t>
            </w:r>
          </w:p>
          <w:p w14:paraId="66C1083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2）防护棚两侧未采取封闭措施，扣3分</w:t>
            </w:r>
          </w:p>
          <w:p w14:paraId="0E37427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3）防护棚宽度小于通道口宽度，扣3分</w:t>
            </w:r>
          </w:p>
          <w:p w14:paraId="6AD08C2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4）防护棚长度小于高处作业坠落半径，扣3分</w:t>
            </w:r>
          </w:p>
          <w:p w14:paraId="4AD4E9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5）防护棚的材质和构造不符合标准要求，扣2-5分</w:t>
            </w:r>
          </w:p>
        </w:tc>
        <w:tc>
          <w:tcPr>
            <w:tcW w:w="720" w:type="dxa"/>
            <w:vAlign w:val="center"/>
          </w:tcPr>
          <w:p w14:paraId="79955F4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720" w:type="dxa"/>
            <w:vAlign w:val="center"/>
          </w:tcPr>
          <w:p w14:paraId="4336F8A7">
            <w:pPr>
              <w:pStyle w:val="42"/>
              <w:rPr>
                <w:color w:val="000000" w:themeColor="text1"/>
                <w14:textFill>
                  <w14:solidFill>
                    <w14:schemeClr w14:val="tx1"/>
                  </w14:solidFill>
                </w14:textFill>
              </w:rPr>
            </w:pPr>
          </w:p>
        </w:tc>
        <w:tc>
          <w:tcPr>
            <w:tcW w:w="720" w:type="dxa"/>
            <w:vAlign w:val="center"/>
          </w:tcPr>
          <w:p w14:paraId="665BD249">
            <w:pPr>
              <w:pStyle w:val="42"/>
              <w:rPr>
                <w:color w:val="000000" w:themeColor="text1"/>
                <w14:textFill>
                  <w14:solidFill>
                    <w14:schemeClr w14:val="tx1"/>
                  </w14:solidFill>
                </w14:textFill>
              </w:rPr>
            </w:pPr>
          </w:p>
        </w:tc>
      </w:tr>
      <w:tr w14:paraId="4E1B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407EDA5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1170" w:type="dxa"/>
            <w:vAlign w:val="center"/>
          </w:tcPr>
          <w:p w14:paraId="3115FB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攀登作业</w:t>
            </w:r>
          </w:p>
        </w:tc>
        <w:tc>
          <w:tcPr>
            <w:tcW w:w="5308" w:type="dxa"/>
            <w:vAlign w:val="center"/>
          </w:tcPr>
          <w:p w14:paraId="42E364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1）单梯垫高使用，扣3分</w:t>
            </w:r>
          </w:p>
          <w:p w14:paraId="54E10FF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2）直梯接头超过1处，扣3分</w:t>
            </w:r>
          </w:p>
          <w:p w14:paraId="2F9986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3）折梯未设置可靠的拉撑装置，扣5分</w:t>
            </w:r>
          </w:p>
          <w:p w14:paraId="661254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4）两人同时在梯子上作业或上下，扣5分</w:t>
            </w:r>
          </w:p>
          <w:p w14:paraId="0FA7A1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5）脚手架操作层上使用梯子作业，扣7分</w:t>
            </w:r>
          </w:p>
          <w:p w14:paraId="2B52C14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6）上下直梯时人员背向梯子或手持器物，扣3分</w:t>
            </w:r>
          </w:p>
          <w:p w14:paraId="02A8001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7）直梯攀登高度超过10m，扣7分</w:t>
            </w:r>
          </w:p>
          <w:p w14:paraId="31E1532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8）直梯攀登高度超过8m时未设置梯间平台，扣3分</w:t>
            </w:r>
          </w:p>
          <w:p w14:paraId="46A9A3C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9）人行塔梯顶部和各平台未牢固满铺防滑板，或未在四周按临边作业要求设置防护栏杆，扣7分</w:t>
            </w:r>
          </w:p>
          <w:p w14:paraId="32165A3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10）高度超过5m的人行塔梯未与建筑结构间设置连墙件，扣7分</w:t>
            </w:r>
          </w:p>
          <w:p w14:paraId="0E59E2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11）梯子的材料或制作质量不符合标准要求，扣7分</w:t>
            </w:r>
          </w:p>
        </w:tc>
        <w:tc>
          <w:tcPr>
            <w:tcW w:w="720" w:type="dxa"/>
            <w:vAlign w:val="center"/>
          </w:tcPr>
          <w:p w14:paraId="49C94B4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103BCCD0">
            <w:pPr>
              <w:pStyle w:val="42"/>
              <w:rPr>
                <w:color w:val="000000" w:themeColor="text1"/>
                <w14:textFill>
                  <w14:solidFill>
                    <w14:schemeClr w14:val="tx1"/>
                  </w14:solidFill>
                </w14:textFill>
              </w:rPr>
            </w:pPr>
          </w:p>
        </w:tc>
        <w:tc>
          <w:tcPr>
            <w:tcW w:w="720" w:type="dxa"/>
            <w:vAlign w:val="center"/>
          </w:tcPr>
          <w:p w14:paraId="5E5A2081">
            <w:pPr>
              <w:pStyle w:val="42"/>
              <w:rPr>
                <w:color w:val="000000" w:themeColor="text1"/>
                <w14:textFill>
                  <w14:solidFill>
                    <w14:schemeClr w14:val="tx1"/>
                  </w14:solidFill>
                </w14:textFill>
              </w:rPr>
            </w:pPr>
          </w:p>
        </w:tc>
      </w:tr>
      <w:tr w14:paraId="513CA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89EBFF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1170" w:type="dxa"/>
            <w:vAlign w:val="center"/>
          </w:tcPr>
          <w:p w14:paraId="1D7C3FD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悬空作业</w:t>
            </w:r>
          </w:p>
        </w:tc>
        <w:tc>
          <w:tcPr>
            <w:tcW w:w="5308" w:type="dxa"/>
            <w:vAlign w:val="center"/>
          </w:tcPr>
          <w:p w14:paraId="0FE735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1）悬空作业处未设置牢固的落脚点，扣8分</w:t>
            </w:r>
          </w:p>
          <w:p w14:paraId="6414D4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2）悬空作业处未设置防护栏杆或采取其他可靠的安全措施，扣3-7分</w:t>
            </w:r>
          </w:p>
          <w:p w14:paraId="56C5034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3）悬空作业所使用的索具、吊具等未经验收，扣5分</w:t>
            </w:r>
          </w:p>
          <w:p w14:paraId="351E62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4）人员在未固定、无防护的构件及安装中的管道上作业或通行，扣7分</w:t>
            </w:r>
          </w:p>
          <w:p w14:paraId="5B303F8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5）悬空作业人员未系挂安全带或未佩戴工具袋，每人扣2分</w:t>
            </w:r>
          </w:p>
        </w:tc>
        <w:tc>
          <w:tcPr>
            <w:tcW w:w="720" w:type="dxa"/>
            <w:vAlign w:val="center"/>
          </w:tcPr>
          <w:p w14:paraId="0D0D081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720" w:type="dxa"/>
            <w:vAlign w:val="center"/>
          </w:tcPr>
          <w:p w14:paraId="3D3850AE">
            <w:pPr>
              <w:pStyle w:val="42"/>
              <w:rPr>
                <w:color w:val="000000" w:themeColor="text1"/>
                <w14:textFill>
                  <w14:solidFill>
                    <w14:schemeClr w14:val="tx1"/>
                  </w14:solidFill>
                </w14:textFill>
              </w:rPr>
            </w:pPr>
          </w:p>
        </w:tc>
        <w:tc>
          <w:tcPr>
            <w:tcW w:w="720" w:type="dxa"/>
            <w:vAlign w:val="center"/>
          </w:tcPr>
          <w:p w14:paraId="0C3BBE62">
            <w:pPr>
              <w:pStyle w:val="42"/>
              <w:rPr>
                <w:color w:val="000000" w:themeColor="text1"/>
                <w14:textFill>
                  <w14:solidFill>
                    <w14:schemeClr w14:val="tx1"/>
                  </w14:solidFill>
                </w14:textFill>
              </w:rPr>
            </w:pPr>
          </w:p>
        </w:tc>
      </w:tr>
      <w:tr w14:paraId="3D49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E46332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1170" w:type="dxa"/>
            <w:vAlign w:val="center"/>
          </w:tcPr>
          <w:p w14:paraId="09BACAC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高空水平</w:t>
            </w:r>
            <w:r>
              <w:rPr>
                <w:color w:val="000000" w:themeColor="text1"/>
                <w14:textFill>
                  <w14:solidFill>
                    <w14:schemeClr w14:val="tx1"/>
                  </w14:solidFill>
                </w14:textFill>
              </w:rPr>
              <w:t>通道</w:t>
            </w:r>
          </w:p>
        </w:tc>
        <w:tc>
          <w:tcPr>
            <w:tcW w:w="5308" w:type="dxa"/>
            <w:vAlign w:val="center"/>
          </w:tcPr>
          <w:p w14:paraId="3B0891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）梁</w:t>
            </w:r>
            <w:r>
              <w:rPr>
                <w:color w:val="000000" w:themeColor="text1"/>
                <w14:textFill>
                  <w14:solidFill>
                    <w14:schemeClr w14:val="tx1"/>
                  </w14:solidFill>
                </w14:textFill>
              </w:rPr>
              <w:t>式通道承重梁</w:t>
            </w:r>
            <w:r>
              <w:rPr>
                <w:rFonts w:hint="eastAsia"/>
                <w:color w:val="000000" w:themeColor="text1"/>
                <w14:textFill>
                  <w14:solidFill>
                    <w14:schemeClr w14:val="tx1"/>
                  </w14:solidFill>
                </w14:textFill>
              </w:rPr>
              <w:t>、承载结构未经</w:t>
            </w:r>
            <w:r>
              <w:rPr>
                <w:color w:val="000000" w:themeColor="text1"/>
                <w14:textFill>
                  <w14:solidFill>
                    <w14:schemeClr w14:val="tx1"/>
                  </w14:solidFill>
                </w14:textFill>
              </w:rPr>
              <w:t>设计计算</w:t>
            </w:r>
            <w:r>
              <w:rPr>
                <w:rFonts w:hint="eastAsia"/>
                <w:color w:val="000000" w:themeColor="text1"/>
                <w14:textFill>
                  <w14:solidFill>
                    <w14:schemeClr w14:val="tx1"/>
                  </w14:solidFill>
                </w14:textFill>
              </w:rPr>
              <w:t>，或</w:t>
            </w:r>
            <w:r>
              <w:rPr>
                <w:color w:val="000000" w:themeColor="text1"/>
                <w14:textFill>
                  <w14:solidFill>
                    <w14:schemeClr w14:val="tx1"/>
                  </w14:solidFill>
                </w14:textFill>
              </w:rPr>
              <w:t>搁置端应固定</w:t>
            </w:r>
            <w:r>
              <w:rPr>
                <w:rFonts w:hint="eastAsia"/>
                <w:color w:val="000000" w:themeColor="text1"/>
                <w14:textFill>
                  <w14:solidFill>
                    <w14:schemeClr w14:val="tx1"/>
                  </w14:solidFill>
                </w14:textFill>
              </w:rPr>
              <w:t>不</w:t>
            </w:r>
            <w:r>
              <w:rPr>
                <w:color w:val="000000" w:themeColor="text1"/>
                <w14:textFill>
                  <w14:solidFill>
                    <w14:schemeClr w14:val="tx1"/>
                  </w14:solidFill>
                </w14:textFill>
              </w:rPr>
              <w:t>牢固</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扣</w:t>
            </w:r>
            <w:r>
              <w:rPr>
                <w:rFonts w:hint="eastAsia"/>
                <w:color w:val="000000" w:themeColor="text1"/>
                <w14:textFill>
                  <w14:solidFill>
                    <w14:schemeClr w14:val="tx1"/>
                  </w14:solidFill>
                </w14:textFill>
              </w:rPr>
              <w:t>7分</w:t>
            </w:r>
          </w:p>
          <w:p w14:paraId="0B4FA4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）通行</w:t>
            </w:r>
            <w:r>
              <w:rPr>
                <w:color w:val="000000" w:themeColor="text1"/>
                <w14:textFill>
                  <w14:solidFill>
                    <w14:schemeClr w14:val="tx1"/>
                  </w14:solidFill>
                </w14:textFill>
              </w:rPr>
              <w:t>面未牢固满铺防滑板，或未在四周按临边作业要求设置防护栏杆</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扣</w:t>
            </w:r>
            <w:r>
              <w:rPr>
                <w:rFonts w:hint="eastAsia"/>
                <w:color w:val="000000" w:themeColor="text1"/>
                <w14:textFill>
                  <w14:solidFill>
                    <w14:schemeClr w14:val="tx1"/>
                  </w14:solidFill>
                </w14:textFill>
              </w:rPr>
              <w:t>7分</w:t>
            </w:r>
          </w:p>
          <w:p w14:paraId="1856CD8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）高空</w:t>
            </w:r>
            <w:r>
              <w:rPr>
                <w:color w:val="000000" w:themeColor="text1"/>
                <w14:textFill>
                  <w14:solidFill>
                    <w14:schemeClr w14:val="tx1"/>
                  </w14:solidFill>
                </w14:textFill>
              </w:rPr>
              <w:t>结构物间采用简易跳板通行</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扣</w:t>
            </w:r>
            <w:r>
              <w:rPr>
                <w:rFonts w:hint="eastAsia"/>
                <w:color w:val="000000" w:themeColor="text1"/>
                <w14:textFill>
                  <w14:solidFill>
                    <w14:schemeClr w14:val="tx1"/>
                  </w14:solidFill>
                </w14:textFill>
              </w:rPr>
              <w:t>7分</w:t>
            </w:r>
          </w:p>
          <w:p w14:paraId="013A321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）当利用已安装的构件或既有的结构构件作为高空水平通道时，临空面未采取</w:t>
            </w:r>
            <w:r>
              <w:rPr>
                <w:color w:val="000000" w:themeColor="text1"/>
                <w14:textFill>
                  <w14:solidFill>
                    <w14:schemeClr w14:val="tx1"/>
                  </w14:solidFill>
                </w14:textFill>
              </w:rPr>
              <w:t>临边防护</w:t>
            </w:r>
            <w:r>
              <w:rPr>
                <w:rFonts w:hint="eastAsia"/>
                <w:color w:val="000000" w:themeColor="text1"/>
                <w14:textFill>
                  <w14:solidFill>
                    <w14:schemeClr w14:val="tx1"/>
                  </w14:solidFill>
                </w14:textFill>
              </w:rPr>
              <w:t>措施</w:t>
            </w:r>
            <w:r>
              <w:rPr>
                <w:color w:val="000000" w:themeColor="text1"/>
                <w14:textFill>
                  <w14:solidFill>
                    <w14:schemeClr w14:val="tx1"/>
                  </w14:solidFill>
                </w14:textFill>
              </w:rPr>
              <w:t>，扣</w:t>
            </w:r>
            <w:r>
              <w:rPr>
                <w:rFonts w:hint="eastAsia"/>
                <w:color w:val="000000" w:themeColor="text1"/>
                <w14:textFill>
                  <w14:solidFill>
                    <w14:schemeClr w14:val="tx1"/>
                  </w14:solidFill>
                </w14:textFill>
              </w:rPr>
              <w:t>7分</w:t>
            </w:r>
          </w:p>
        </w:tc>
        <w:tc>
          <w:tcPr>
            <w:tcW w:w="720" w:type="dxa"/>
            <w:vAlign w:val="center"/>
          </w:tcPr>
          <w:p w14:paraId="160C007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72348DC1">
            <w:pPr>
              <w:pStyle w:val="42"/>
              <w:rPr>
                <w:color w:val="000000" w:themeColor="text1"/>
                <w14:textFill>
                  <w14:solidFill>
                    <w14:schemeClr w14:val="tx1"/>
                  </w14:solidFill>
                </w14:textFill>
              </w:rPr>
            </w:pPr>
          </w:p>
        </w:tc>
        <w:tc>
          <w:tcPr>
            <w:tcW w:w="720" w:type="dxa"/>
            <w:vAlign w:val="center"/>
          </w:tcPr>
          <w:p w14:paraId="3EE4B457">
            <w:pPr>
              <w:pStyle w:val="42"/>
              <w:rPr>
                <w:color w:val="000000" w:themeColor="text1"/>
                <w14:textFill>
                  <w14:solidFill>
                    <w14:schemeClr w14:val="tx1"/>
                  </w14:solidFill>
                </w14:textFill>
              </w:rPr>
            </w:pPr>
          </w:p>
        </w:tc>
      </w:tr>
      <w:tr w14:paraId="34162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6E54AE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11</w:t>
            </w:r>
          </w:p>
        </w:tc>
        <w:tc>
          <w:tcPr>
            <w:tcW w:w="1170" w:type="dxa"/>
            <w:vAlign w:val="center"/>
          </w:tcPr>
          <w:p w14:paraId="47DBAAEB">
            <w:pPr>
              <w:pStyle w:val="42"/>
              <w:rPr>
                <w:color w:val="000000" w:themeColor="text1"/>
                <w14:textFill>
                  <w14:solidFill>
                    <w14:schemeClr w14:val="tx1"/>
                  </w14:solidFill>
                </w14:textFill>
              </w:rPr>
            </w:pPr>
            <w:r>
              <w:rPr>
                <w:color w:val="000000" w:themeColor="text1"/>
                <w14:textFill>
                  <w14:solidFill>
                    <w14:schemeClr w14:val="tx1"/>
                  </w14:solidFill>
                </w14:textFill>
              </w:rPr>
              <w:t>落地式移动操作平台</w:t>
            </w:r>
          </w:p>
        </w:tc>
        <w:tc>
          <w:tcPr>
            <w:tcW w:w="5308" w:type="dxa"/>
            <w:vAlign w:val="center"/>
          </w:tcPr>
          <w:p w14:paraId="1F8E20E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1）操作平台未按规定进行设计计算，扣8分</w:t>
            </w:r>
          </w:p>
          <w:p w14:paraId="339B76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2）操作平台的面积、高度超过标准规定的上限值，扣8分</w:t>
            </w:r>
          </w:p>
          <w:p w14:paraId="60E9A3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3）装设轮子的移动式操作平台，轮子与平台的接合处不牢固可靠，或不具有自锁功能，扣5分</w:t>
            </w:r>
          </w:p>
          <w:p w14:paraId="48542D3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4）立柱底端距地面距离大于80mm，扣3分</w:t>
            </w:r>
          </w:p>
          <w:p w14:paraId="3D21557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5）操作平台未按设计和产品使用要求进行组装，扣8分；</w:t>
            </w:r>
          </w:p>
          <w:p w14:paraId="181440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6）平台面未牢固满铺防滑板，</w:t>
            </w:r>
            <w:r>
              <w:rPr>
                <w:rFonts w:hint="eastAsia"/>
                <w:color w:val="000000" w:themeColor="text1"/>
                <w14:textFill>
                  <w14:solidFill>
                    <w14:schemeClr w14:val="tx1"/>
                  </w14:solidFill>
                </w14:textFill>
              </w:rPr>
              <w:t>扣8分</w:t>
            </w:r>
          </w:p>
          <w:p w14:paraId="557DBC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）平台面</w:t>
            </w:r>
            <w:r>
              <w:rPr>
                <w:color w:val="000000" w:themeColor="text1"/>
                <w14:textFill>
                  <w14:solidFill>
                    <w14:schemeClr w14:val="tx1"/>
                  </w14:solidFill>
                </w14:textFill>
              </w:rPr>
              <w:t>未在四周按临边作业要求设置防护栏杆，扣8分</w:t>
            </w:r>
          </w:p>
          <w:p w14:paraId="5EE6E42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）未设置专用登高扶梯，扣</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分</w:t>
            </w:r>
          </w:p>
          <w:p w14:paraId="749D518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color w:val="000000" w:themeColor="text1"/>
                <w14:textFill>
                  <w14:solidFill>
                    <w14:schemeClr w14:val="tx1"/>
                  </w14:solidFill>
                </w14:textFill>
              </w:rPr>
              <w:t>）构配件的规格、材质不符合标准和设计要求，扣8分</w:t>
            </w:r>
          </w:p>
          <w:p w14:paraId="0D457D1A">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10</w:t>
            </w:r>
            <w:r>
              <w:rPr>
                <w:color w:val="000000" w:themeColor="text1"/>
                <w14:textFill>
                  <w14:solidFill>
                    <w14:schemeClr w14:val="tx1"/>
                  </w14:solidFill>
                </w14:textFill>
              </w:rPr>
              <w:t>）基础处理不满足设计和产品使用要求，扣8分</w:t>
            </w:r>
          </w:p>
          <w:p w14:paraId="11A7134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11</w:t>
            </w:r>
            <w:r>
              <w:rPr>
                <w:color w:val="000000" w:themeColor="text1"/>
                <w14:textFill>
                  <w14:solidFill>
                    <w14:schemeClr w14:val="tx1"/>
                  </w14:solidFill>
                </w14:textFill>
              </w:rPr>
              <w:t>）平台上人员和物料的总重量超过设计</w:t>
            </w:r>
            <w:r>
              <w:rPr>
                <w:rFonts w:hint="eastAsia"/>
                <w:color w:val="000000" w:themeColor="text1"/>
                <w14:textFill>
                  <w14:solidFill>
                    <w14:schemeClr w14:val="tx1"/>
                  </w14:solidFill>
                </w14:textFill>
              </w:rPr>
              <w:t>允许范围</w:t>
            </w:r>
            <w:r>
              <w:rPr>
                <w:color w:val="000000" w:themeColor="text1"/>
                <w14:textFill>
                  <w14:solidFill>
                    <w14:schemeClr w14:val="tx1"/>
                  </w14:solidFill>
                </w14:textFill>
              </w:rPr>
              <w:t>，扣8分</w:t>
            </w:r>
          </w:p>
        </w:tc>
        <w:tc>
          <w:tcPr>
            <w:tcW w:w="720" w:type="dxa"/>
            <w:vAlign w:val="center"/>
          </w:tcPr>
          <w:p w14:paraId="25A86BB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720" w:type="dxa"/>
            <w:vAlign w:val="center"/>
          </w:tcPr>
          <w:p w14:paraId="4F406602">
            <w:pPr>
              <w:pStyle w:val="42"/>
              <w:rPr>
                <w:color w:val="000000" w:themeColor="text1"/>
                <w14:textFill>
                  <w14:solidFill>
                    <w14:schemeClr w14:val="tx1"/>
                  </w14:solidFill>
                </w14:textFill>
              </w:rPr>
            </w:pPr>
          </w:p>
        </w:tc>
        <w:tc>
          <w:tcPr>
            <w:tcW w:w="720" w:type="dxa"/>
            <w:vAlign w:val="center"/>
          </w:tcPr>
          <w:p w14:paraId="5EF9526E">
            <w:pPr>
              <w:pStyle w:val="42"/>
              <w:rPr>
                <w:color w:val="000000" w:themeColor="text1"/>
                <w14:textFill>
                  <w14:solidFill>
                    <w14:schemeClr w14:val="tx1"/>
                  </w14:solidFill>
                </w14:textFill>
              </w:rPr>
            </w:pPr>
          </w:p>
        </w:tc>
      </w:tr>
      <w:tr w14:paraId="4508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AF837E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12</w:t>
            </w:r>
          </w:p>
        </w:tc>
        <w:tc>
          <w:tcPr>
            <w:tcW w:w="1170" w:type="dxa"/>
            <w:vAlign w:val="center"/>
          </w:tcPr>
          <w:p w14:paraId="7C5F1CC3">
            <w:pPr>
              <w:pStyle w:val="42"/>
              <w:rPr>
                <w:color w:val="000000" w:themeColor="text1"/>
                <w14:textFill>
                  <w14:solidFill>
                    <w14:schemeClr w14:val="tx1"/>
                  </w14:solidFill>
                </w14:textFill>
              </w:rPr>
            </w:pPr>
            <w:r>
              <w:rPr>
                <w:color w:val="000000" w:themeColor="text1"/>
                <w14:textFill>
                  <w14:solidFill>
                    <w14:schemeClr w14:val="tx1"/>
                  </w14:solidFill>
                </w14:textFill>
              </w:rPr>
              <w:t>悬挂式移动操作平台</w:t>
            </w:r>
          </w:p>
        </w:tc>
        <w:tc>
          <w:tcPr>
            <w:tcW w:w="5308" w:type="dxa"/>
            <w:vAlign w:val="center"/>
          </w:tcPr>
          <w:p w14:paraId="76BEB20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1）操作平台在施工前未编制专项施工方案的，扣7分</w:t>
            </w:r>
          </w:p>
          <w:p w14:paraId="33BC14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2）操作平台的承载体和悬挂装置不牢固、可靠，或不具有足够的承载力，扣7分</w:t>
            </w:r>
          </w:p>
          <w:p w14:paraId="0648CE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3）平台面未牢固满铺防滑板，</w:t>
            </w:r>
            <w:r>
              <w:rPr>
                <w:rFonts w:hint="eastAsia"/>
                <w:color w:val="000000" w:themeColor="text1"/>
                <w14:textFill>
                  <w14:solidFill>
                    <w14:schemeClr w14:val="tx1"/>
                  </w14:solidFill>
                </w14:textFill>
              </w:rPr>
              <w:t>扣5分</w:t>
            </w:r>
          </w:p>
          <w:p w14:paraId="3F9E990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）平台面</w:t>
            </w:r>
            <w:r>
              <w:rPr>
                <w:color w:val="000000" w:themeColor="text1"/>
                <w14:textFill>
                  <w14:solidFill>
                    <w14:schemeClr w14:val="tx1"/>
                  </w14:solidFill>
                </w14:textFill>
              </w:rPr>
              <w:t>未在四周按临边作业要求设置防护栏杆，扣7分</w:t>
            </w:r>
          </w:p>
          <w:p w14:paraId="7BAD263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color w:val="000000" w:themeColor="text1"/>
                <w14:textFill>
                  <w14:solidFill>
                    <w14:schemeClr w14:val="tx1"/>
                  </w14:solidFill>
                </w14:textFill>
              </w:rPr>
              <w:t>）未设置专用上下扶梯或扶梯未设置栏杆和扶手，扣5分</w:t>
            </w:r>
          </w:p>
          <w:p w14:paraId="3094C01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w:t>
            </w:r>
            <w:r>
              <w:rPr>
                <w:color w:val="000000" w:themeColor="text1"/>
                <w14:textFill>
                  <w14:solidFill>
                    <w14:schemeClr w14:val="tx1"/>
                  </w14:solidFill>
                </w14:textFill>
              </w:rPr>
              <w:t>）构配件的规格和材质不符合设计要求，扣</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分</w:t>
            </w:r>
          </w:p>
          <w:p w14:paraId="7C809BD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w:t>
            </w:r>
            <w:r>
              <w:rPr>
                <w:color w:val="000000" w:themeColor="text1"/>
                <w14:textFill>
                  <w14:solidFill>
                    <w14:schemeClr w14:val="tx1"/>
                  </w14:solidFill>
                </w14:textFill>
              </w:rPr>
              <w:t>）杆件连接方式不符合设计要求或连接不牢固、可靠，扣</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分</w:t>
            </w:r>
          </w:p>
          <w:p w14:paraId="482F6AF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）搭设完毕未办理验收手续即投入使用，扣</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分</w:t>
            </w:r>
          </w:p>
          <w:p w14:paraId="7E4A4CD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color w:val="000000" w:themeColor="text1"/>
                <w14:textFill>
                  <w14:solidFill>
                    <w14:schemeClr w14:val="tx1"/>
                  </w14:solidFill>
                </w14:textFill>
              </w:rPr>
              <w:t>）平台上人员和物料的总重量超过设计</w:t>
            </w:r>
            <w:r>
              <w:rPr>
                <w:rFonts w:hint="eastAsia"/>
                <w:color w:val="000000" w:themeColor="text1"/>
                <w14:textFill>
                  <w14:solidFill>
                    <w14:schemeClr w14:val="tx1"/>
                  </w14:solidFill>
                </w14:textFill>
              </w:rPr>
              <w:t>允许范围</w:t>
            </w:r>
            <w:r>
              <w:rPr>
                <w:color w:val="000000" w:themeColor="text1"/>
                <w14:textFill>
                  <w14:solidFill>
                    <w14:schemeClr w14:val="tx1"/>
                  </w14:solidFill>
                </w14:textFill>
              </w:rPr>
              <w:t>，扣</w:t>
            </w:r>
            <w:r>
              <w:rPr>
                <w:rFonts w:hint="eastAsia"/>
                <w:color w:val="000000" w:themeColor="text1"/>
                <w14:textFill>
                  <w14:solidFill>
                    <w14:schemeClr w14:val="tx1"/>
                  </w14:solidFill>
                </w14:textFill>
              </w:rPr>
              <w:t>7</w:t>
            </w:r>
            <w:r>
              <w:rPr>
                <w:color w:val="000000" w:themeColor="text1"/>
                <w14:textFill>
                  <w14:solidFill>
                    <w14:schemeClr w14:val="tx1"/>
                  </w14:solidFill>
                </w14:textFill>
              </w:rPr>
              <w:t>分</w:t>
            </w:r>
          </w:p>
        </w:tc>
        <w:tc>
          <w:tcPr>
            <w:tcW w:w="720" w:type="dxa"/>
            <w:vAlign w:val="center"/>
          </w:tcPr>
          <w:p w14:paraId="7D10099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00EDF614">
            <w:pPr>
              <w:pStyle w:val="42"/>
              <w:rPr>
                <w:color w:val="000000" w:themeColor="text1"/>
                <w14:textFill>
                  <w14:solidFill>
                    <w14:schemeClr w14:val="tx1"/>
                  </w14:solidFill>
                </w14:textFill>
              </w:rPr>
            </w:pPr>
          </w:p>
        </w:tc>
        <w:tc>
          <w:tcPr>
            <w:tcW w:w="720" w:type="dxa"/>
            <w:vAlign w:val="center"/>
          </w:tcPr>
          <w:p w14:paraId="32D7EFAA">
            <w:pPr>
              <w:pStyle w:val="42"/>
              <w:rPr>
                <w:color w:val="000000" w:themeColor="text1"/>
                <w14:textFill>
                  <w14:solidFill>
                    <w14:schemeClr w14:val="tx1"/>
                  </w14:solidFill>
                </w14:textFill>
              </w:rPr>
            </w:pPr>
          </w:p>
        </w:tc>
      </w:tr>
      <w:tr w14:paraId="0A96D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2A85A4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13</w:t>
            </w:r>
          </w:p>
        </w:tc>
        <w:tc>
          <w:tcPr>
            <w:tcW w:w="1170" w:type="dxa"/>
            <w:vAlign w:val="center"/>
          </w:tcPr>
          <w:p w14:paraId="4397E39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物料钢平台</w:t>
            </w:r>
          </w:p>
        </w:tc>
        <w:tc>
          <w:tcPr>
            <w:tcW w:w="5308" w:type="dxa"/>
            <w:vAlign w:val="center"/>
          </w:tcPr>
          <w:p w14:paraId="104EC13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1）未编制专项施工方案或未经设计计算，扣8分</w:t>
            </w:r>
          </w:p>
          <w:p w14:paraId="2B0FA0C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2）钢平台构配件的规格和材质不符合设计要求，扣8分</w:t>
            </w:r>
          </w:p>
          <w:p w14:paraId="050661D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3）物料钢平台的搭设不符合专项施工方案的要求，扣8分</w:t>
            </w:r>
          </w:p>
          <w:p w14:paraId="0A90D00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4）钢平台支撑架未与既有结构可靠连接，扣3分</w:t>
            </w:r>
          </w:p>
          <w:p w14:paraId="1A9E276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5）悬挑式物料钢平台的斜拉杆或钢丝绳未在平台两侧各设置前后两道，或可靠拉结在既有结构上，扣8分</w:t>
            </w:r>
          </w:p>
          <w:p w14:paraId="4259823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6）平台面、平台与结构物间未牢固满铺防滑板，扣5分</w:t>
            </w:r>
          </w:p>
          <w:p w14:paraId="131B5E2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7）平台面未在四周按临边作业要求设置防护栏杆和挡脚板，扣8分</w:t>
            </w:r>
          </w:p>
          <w:p w14:paraId="6A9293A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8）搭设完毕未办理验收手续即投入使用，扣8分</w:t>
            </w:r>
          </w:p>
          <w:p w14:paraId="257A5FC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9）未在明显位置设置荷载限定标牌，或平台上人员和物料的总重量应在超过设计允许范围，扣8分</w:t>
            </w:r>
          </w:p>
        </w:tc>
        <w:tc>
          <w:tcPr>
            <w:tcW w:w="720" w:type="dxa"/>
            <w:vAlign w:val="center"/>
          </w:tcPr>
          <w:p w14:paraId="72DEC3F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720" w:type="dxa"/>
            <w:vAlign w:val="center"/>
          </w:tcPr>
          <w:p w14:paraId="1E6C8420">
            <w:pPr>
              <w:pStyle w:val="42"/>
              <w:rPr>
                <w:color w:val="000000" w:themeColor="text1"/>
                <w14:textFill>
                  <w14:solidFill>
                    <w14:schemeClr w14:val="tx1"/>
                  </w14:solidFill>
                </w14:textFill>
              </w:rPr>
            </w:pPr>
          </w:p>
        </w:tc>
        <w:tc>
          <w:tcPr>
            <w:tcW w:w="720" w:type="dxa"/>
            <w:vAlign w:val="center"/>
          </w:tcPr>
          <w:p w14:paraId="5DCAA64F">
            <w:pPr>
              <w:pStyle w:val="42"/>
              <w:rPr>
                <w:color w:val="000000" w:themeColor="text1"/>
                <w14:textFill>
                  <w14:solidFill>
                    <w14:schemeClr w14:val="tx1"/>
                  </w14:solidFill>
                </w14:textFill>
              </w:rPr>
            </w:pPr>
          </w:p>
        </w:tc>
      </w:tr>
      <w:tr w14:paraId="0208B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3D6C1E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14</w:t>
            </w:r>
          </w:p>
        </w:tc>
        <w:tc>
          <w:tcPr>
            <w:tcW w:w="1170" w:type="dxa"/>
            <w:vAlign w:val="center"/>
          </w:tcPr>
          <w:p w14:paraId="7160A9C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交叉作业</w:t>
            </w:r>
          </w:p>
        </w:tc>
        <w:tc>
          <w:tcPr>
            <w:tcW w:w="5308" w:type="dxa"/>
            <w:vAlign w:val="center"/>
          </w:tcPr>
          <w:p w14:paraId="59120EF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1）上下立体交叉作业时，下层作业的位置未处于上层作业坠落半径之外或未设置安全防护棚，扣5分</w:t>
            </w:r>
          </w:p>
          <w:p w14:paraId="5E00685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2）经拆除的各种部件，临时堆放处离临边边沿小于1m，堆放高度超过1m的，每处扣1分</w:t>
            </w:r>
          </w:p>
        </w:tc>
        <w:tc>
          <w:tcPr>
            <w:tcW w:w="720" w:type="dxa"/>
            <w:vAlign w:val="center"/>
          </w:tcPr>
          <w:p w14:paraId="3D8CF7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720" w:type="dxa"/>
            <w:vAlign w:val="center"/>
          </w:tcPr>
          <w:p w14:paraId="1D538036">
            <w:pPr>
              <w:pStyle w:val="42"/>
              <w:rPr>
                <w:color w:val="000000" w:themeColor="text1"/>
                <w14:textFill>
                  <w14:solidFill>
                    <w14:schemeClr w14:val="tx1"/>
                  </w14:solidFill>
                </w14:textFill>
              </w:rPr>
            </w:pPr>
          </w:p>
        </w:tc>
        <w:tc>
          <w:tcPr>
            <w:tcW w:w="720" w:type="dxa"/>
            <w:vAlign w:val="center"/>
          </w:tcPr>
          <w:p w14:paraId="025594DB">
            <w:pPr>
              <w:pStyle w:val="42"/>
              <w:rPr>
                <w:color w:val="000000" w:themeColor="text1"/>
                <w14:textFill>
                  <w14:solidFill>
                    <w14:schemeClr w14:val="tx1"/>
                  </w14:solidFill>
                </w14:textFill>
              </w:rPr>
            </w:pPr>
          </w:p>
        </w:tc>
      </w:tr>
      <w:tr w14:paraId="35F0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017" w:type="dxa"/>
            <w:gridSpan w:val="3"/>
            <w:vAlign w:val="center"/>
          </w:tcPr>
          <w:p w14:paraId="56DB27C4">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1F29312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3141D7B0">
            <w:pPr>
              <w:pStyle w:val="42"/>
              <w:rPr>
                <w:color w:val="000000" w:themeColor="text1"/>
                <w14:textFill>
                  <w14:solidFill>
                    <w14:schemeClr w14:val="tx1"/>
                  </w14:solidFill>
                </w14:textFill>
              </w:rPr>
            </w:pPr>
          </w:p>
        </w:tc>
        <w:tc>
          <w:tcPr>
            <w:tcW w:w="720" w:type="dxa"/>
            <w:vAlign w:val="center"/>
          </w:tcPr>
          <w:p w14:paraId="2771DE8E">
            <w:pPr>
              <w:pStyle w:val="42"/>
              <w:rPr>
                <w:color w:val="000000" w:themeColor="text1"/>
                <w14:textFill>
                  <w14:solidFill>
                    <w14:schemeClr w14:val="tx1"/>
                  </w14:solidFill>
                </w14:textFill>
              </w:rPr>
            </w:pPr>
          </w:p>
        </w:tc>
      </w:tr>
    </w:tbl>
    <w:p w14:paraId="5F1B6FB4">
      <w:pPr>
        <w:rPr>
          <w:rFonts w:ascii="仿宋_GB2312" w:hAnsi="仿宋_GB2312" w:cs="仿宋_GB2312"/>
          <w:color w:val="000000" w:themeColor="text1"/>
          <w:sz w:val="21"/>
          <w:szCs w:val="21"/>
          <w14:textFill>
            <w14:solidFill>
              <w14:schemeClr w14:val="tx1"/>
            </w14:solidFill>
          </w14:textFill>
        </w:rPr>
      </w:pPr>
    </w:p>
    <w:p w14:paraId="3A06D90E">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0" w:name="_Toc22348"/>
      <w:bookmarkStart w:id="11" w:name="_Toc15409"/>
      <w:bookmarkStart w:id="12" w:name="_Toc8716"/>
      <w:r>
        <w:rPr>
          <w:rFonts w:hint="eastAsia"/>
          <w:color w:val="000000" w:themeColor="text1"/>
          <w14:textFill>
            <w14:solidFill>
              <w14:schemeClr w14:val="tx1"/>
            </w14:solidFill>
          </w14:textFill>
        </w:rPr>
        <w:t>表4  施工用电检查评分表</w:t>
      </w:r>
      <w:bookmarkEnd w:id="10"/>
      <w:bookmarkEnd w:id="11"/>
      <w:bookmarkEnd w:id="12"/>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0AD0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blHeader/>
          <w:jc w:val="center"/>
        </w:trPr>
        <w:tc>
          <w:tcPr>
            <w:tcW w:w="539" w:type="dxa"/>
            <w:vAlign w:val="center"/>
          </w:tcPr>
          <w:p w14:paraId="66770AF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198094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01FE39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4163AF3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306A796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7CB85929">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0008AA6">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47192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3E14065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7691FCA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63600C5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37737F4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63960E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7BDF797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外电防护</w:t>
            </w:r>
          </w:p>
        </w:tc>
        <w:tc>
          <w:tcPr>
            <w:tcW w:w="5580" w:type="dxa"/>
            <w:vAlign w:val="center"/>
          </w:tcPr>
          <w:p w14:paraId="343C154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1）在外电线路正下方施工、搭设作业棚、建造生活设施或堆放材料物品，扣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0CDA41B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2）当安全距离不符合标准要求时，未采取隔离防护措施，扣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749AA71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）防护设施和外电线路架设不坚固、稳定，扣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71D7DB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）在外电线路电杆附近开挖作业时，未会同有关部门采取加固措施，扣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7498776">
            <w:pPr>
              <w:pStyle w:val="4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720" w:type="dxa"/>
            <w:vAlign w:val="center"/>
          </w:tcPr>
          <w:p w14:paraId="34236DE1">
            <w:pPr>
              <w:pStyle w:val="42"/>
              <w:rPr>
                <w:color w:val="000000" w:themeColor="text1"/>
                <w14:textFill>
                  <w14:solidFill>
                    <w14:schemeClr w14:val="tx1"/>
                  </w14:solidFill>
                </w14:textFill>
              </w:rPr>
            </w:pPr>
          </w:p>
        </w:tc>
        <w:tc>
          <w:tcPr>
            <w:tcW w:w="720" w:type="dxa"/>
            <w:vAlign w:val="center"/>
          </w:tcPr>
          <w:p w14:paraId="26A41E56">
            <w:pPr>
              <w:pStyle w:val="42"/>
              <w:rPr>
                <w:color w:val="000000" w:themeColor="text1"/>
                <w14:textFill>
                  <w14:solidFill>
                    <w14:schemeClr w14:val="tx1"/>
                  </w14:solidFill>
                </w14:textFill>
              </w:rPr>
            </w:pPr>
          </w:p>
        </w:tc>
      </w:tr>
      <w:tr w14:paraId="76C8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06FFCB6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48E4E5C9">
            <w:pPr>
              <w:pStyle w:val="42"/>
              <w:rPr>
                <w:color w:val="000000" w:themeColor="text1"/>
                <w14:textFill>
                  <w14:solidFill>
                    <w14:schemeClr w14:val="tx1"/>
                  </w14:solidFill>
                </w14:textFill>
              </w:rPr>
            </w:pPr>
          </w:p>
        </w:tc>
        <w:tc>
          <w:tcPr>
            <w:tcW w:w="898" w:type="dxa"/>
            <w:vAlign w:val="center"/>
          </w:tcPr>
          <w:p w14:paraId="13D19BF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接零保护与防雷</w:t>
            </w:r>
          </w:p>
        </w:tc>
        <w:tc>
          <w:tcPr>
            <w:tcW w:w="5580" w:type="dxa"/>
            <w:vAlign w:val="center"/>
          </w:tcPr>
          <w:p w14:paraId="1C1DAD0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）配电系统未采用</w:t>
            </w:r>
            <w:r>
              <w:rPr>
                <w:color w:val="000000" w:themeColor="text1"/>
                <w14:textFill>
                  <w14:solidFill>
                    <w14:schemeClr w14:val="tx1"/>
                  </w14:solidFill>
                </w14:textFill>
              </w:rPr>
              <w:t>TN-S</w:t>
            </w:r>
            <w:r>
              <w:rPr>
                <w:rFonts w:hint="eastAsia"/>
                <w:color w:val="000000" w:themeColor="text1"/>
                <w14:textFill>
                  <w14:solidFill>
                    <w14:schemeClr w14:val="tx1"/>
                  </w14:solidFill>
                </w14:textFill>
              </w:rPr>
              <w:t>接零保护系统，扣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78BBA5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）同时采用同一种配电保护系统，扣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5FFBD5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）线路上装设开关或熔断器、通过工作电流或有断线，扣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分；未单独敷设保护零线，扣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D3FE12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）保护零线的材质、规格和颜色标记不符合标准要求，扣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EA89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）保护零线引出位置不符合规定，扣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EB529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）电气设备未接保护零线，每处扣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CC614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）工作接地与重复接地的设置、安装及接地装置的材料不符合规定，扣</w:t>
            </w:r>
            <w:r>
              <w:rPr>
                <w:color w:val="000000" w:themeColor="text1"/>
                <w14:textFill>
                  <w14:solidFill>
                    <w14:schemeClr w14:val="tx1"/>
                  </w14:solidFill>
                </w14:textFill>
              </w:rPr>
              <w:t>10-15</w:t>
            </w:r>
            <w:r>
              <w:rPr>
                <w:rFonts w:hint="eastAsia"/>
                <w:color w:val="000000" w:themeColor="text1"/>
                <w14:textFill>
                  <w14:solidFill>
                    <w14:schemeClr w14:val="tx1"/>
                  </w14:solidFill>
                </w14:textFill>
              </w:rPr>
              <w:t>分</w:t>
            </w:r>
          </w:p>
          <w:p w14:paraId="5AFFD88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）工作接地电阻大于</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Ω，重复接地电阻大于</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Ω，扣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444D217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）施工设施未采取防雷措施，扣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分，防雷装置的冲击接地电阻值大于</w:t>
            </w:r>
            <w:r>
              <w:rPr>
                <w:color w:val="000000" w:themeColor="text1"/>
                <w14:textFill>
                  <w14:solidFill>
                    <w14:schemeClr w14:val="tx1"/>
                  </w14:solidFill>
                </w14:textFill>
              </w:rPr>
              <w:t>30</w:t>
            </w:r>
            <w:r>
              <w:rPr>
                <w:rFonts w:hint="eastAsia"/>
                <w:color w:val="000000" w:themeColor="text1"/>
                <w14:textFill>
                  <w14:solidFill>
                    <w14:schemeClr w14:val="tx1"/>
                  </w14:solidFill>
                </w14:textFill>
              </w:rPr>
              <w:t>Ω，扣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01D485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）做防雷接地机械上的电气设备，所连接的保护零线未做重复接地，扣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F4FB2B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15</w:t>
            </w:r>
          </w:p>
        </w:tc>
        <w:tc>
          <w:tcPr>
            <w:tcW w:w="720" w:type="dxa"/>
            <w:vAlign w:val="center"/>
          </w:tcPr>
          <w:p w14:paraId="44FBB38B">
            <w:pPr>
              <w:pStyle w:val="42"/>
              <w:rPr>
                <w:color w:val="000000" w:themeColor="text1"/>
                <w14:textFill>
                  <w14:solidFill>
                    <w14:schemeClr w14:val="tx1"/>
                  </w14:solidFill>
                </w14:textFill>
              </w:rPr>
            </w:pPr>
          </w:p>
        </w:tc>
        <w:tc>
          <w:tcPr>
            <w:tcW w:w="720" w:type="dxa"/>
            <w:vAlign w:val="center"/>
          </w:tcPr>
          <w:p w14:paraId="2EB88860">
            <w:pPr>
              <w:pStyle w:val="42"/>
              <w:rPr>
                <w:color w:val="000000" w:themeColor="text1"/>
                <w14:textFill>
                  <w14:solidFill>
                    <w14:schemeClr w14:val="tx1"/>
                  </w14:solidFill>
                </w14:textFill>
              </w:rPr>
            </w:pPr>
          </w:p>
        </w:tc>
      </w:tr>
      <w:tr w14:paraId="082EF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6E0F61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3A5F58B8">
            <w:pPr>
              <w:pStyle w:val="42"/>
              <w:rPr>
                <w:color w:val="000000" w:themeColor="text1"/>
                <w14:textFill>
                  <w14:solidFill>
                    <w14:schemeClr w14:val="tx1"/>
                  </w14:solidFill>
                </w14:textFill>
              </w:rPr>
            </w:pPr>
          </w:p>
        </w:tc>
        <w:tc>
          <w:tcPr>
            <w:tcW w:w="898" w:type="dxa"/>
            <w:vAlign w:val="center"/>
          </w:tcPr>
          <w:p w14:paraId="0C091E1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配电线路</w:t>
            </w:r>
          </w:p>
        </w:tc>
        <w:tc>
          <w:tcPr>
            <w:tcW w:w="5580" w:type="dxa"/>
            <w:vAlign w:val="center"/>
          </w:tcPr>
          <w:p w14:paraId="23C6CDD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）线路及接头的机械强度和绝缘强度不符合标准要求，扣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BBCFD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）电缆线路未埋地或架空敷设，扣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9A13FE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）架空线架设在树木、脚手架及其他不合理设施上，扣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4226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）架空线路与邻近线路或固定物的距离不符合标准要求，扣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3272DB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）线路未设短路保护和过载保护，扣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分；导线截面不能符合线路负荷电流，扣</w:t>
            </w:r>
            <w:r>
              <w:rPr>
                <w:color w:val="000000" w:themeColor="text1"/>
                <w14:textFill>
                  <w14:solidFill>
                    <w14:schemeClr w14:val="tx1"/>
                  </w14:solidFill>
                </w14:textFill>
              </w:rPr>
              <w:t>2-6</w:t>
            </w:r>
            <w:r>
              <w:rPr>
                <w:rFonts w:hint="eastAsia"/>
                <w:color w:val="000000" w:themeColor="text1"/>
                <w14:textFill>
                  <w14:solidFill>
                    <w14:schemeClr w14:val="tx1"/>
                  </w14:solidFill>
                </w14:textFill>
              </w:rPr>
              <w:t>分</w:t>
            </w:r>
          </w:p>
          <w:p w14:paraId="62E2326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6）敷设的电缆不符合规定要求，扣10分</w:t>
            </w:r>
          </w:p>
          <w:p w14:paraId="401ED3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）通往水上的岸电未采用绝缘物架设，扣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分，电缆线架设完后无余量，扣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D77967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）室内明敷主干线距离地面高度小于</w:t>
            </w:r>
            <w:r>
              <w:rPr>
                <w:color w:val="000000" w:themeColor="text1"/>
                <w14:textFill>
                  <w14:solidFill>
                    <w14:schemeClr w14:val="tx1"/>
                  </w14:solidFill>
                </w14:textFill>
              </w:rPr>
              <w:t>2.5m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BA13E1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）架空缆线上吊挂物品，扣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0D5617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FA1195A">
            <w:pPr>
              <w:pStyle w:val="42"/>
              <w:rPr>
                <w:color w:val="000000" w:themeColor="text1"/>
                <w14:textFill>
                  <w14:solidFill>
                    <w14:schemeClr w14:val="tx1"/>
                  </w14:solidFill>
                </w14:textFill>
              </w:rPr>
            </w:pPr>
          </w:p>
        </w:tc>
        <w:tc>
          <w:tcPr>
            <w:tcW w:w="720" w:type="dxa"/>
            <w:vAlign w:val="center"/>
          </w:tcPr>
          <w:p w14:paraId="32ECA8F8">
            <w:pPr>
              <w:pStyle w:val="42"/>
              <w:rPr>
                <w:color w:val="000000" w:themeColor="text1"/>
                <w14:textFill>
                  <w14:solidFill>
                    <w14:schemeClr w14:val="tx1"/>
                  </w14:solidFill>
                </w14:textFill>
              </w:rPr>
            </w:pPr>
          </w:p>
        </w:tc>
      </w:tr>
      <w:tr w14:paraId="01D5B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1E3087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7D0C24A7">
            <w:pPr>
              <w:pStyle w:val="42"/>
              <w:rPr>
                <w:color w:val="000000" w:themeColor="text1"/>
                <w14:textFill>
                  <w14:solidFill>
                    <w14:schemeClr w14:val="tx1"/>
                  </w14:solidFill>
                </w14:textFill>
              </w:rPr>
            </w:pPr>
          </w:p>
        </w:tc>
        <w:tc>
          <w:tcPr>
            <w:tcW w:w="898" w:type="dxa"/>
            <w:vAlign w:val="center"/>
          </w:tcPr>
          <w:p w14:paraId="60267F8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配电箱与开关箱</w:t>
            </w:r>
          </w:p>
        </w:tc>
        <w:tc>
          <w:tcPr>
            <w:tcW w:w="5580" w:type="dxa"/>
            <w:vAlign w:val="center"/>
          </w:tcPr>
          <w:p w14:paraId="686FC09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1）未采用三级配电、二级保护系统，扣10分</w:t>
            </w:r>
          </w:p>
          <w:p w14:paraId="1846EE2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2）用电设备未设置专用开关箱，扣10分</w:t>
            </w:r>
          </w:p>
          <w:p w14:paraId="4B43194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3）配电箱、开关箱及用电设备之间的距离不符合标准要求，扣5分</w:t>
            </w:r>
          </w:p>
          <w:p w14:paraId="74C71F8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4）配电箱结构、箱内电器设置及使用不符合标准要求，扣5-8分</w:t>
            </w:r>
          </w:p>
          <w:p w14:paraId="4FA781E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5）箱体安装位置、高度及周边通道不符合标准要求，扣5分</w:t>
            </w:r>
          </w:p>
          <w:p w14:paraId="6FAF0D4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6）电器安装板上零线端子板和保护零线端子板设置不符合规定要求，扣10分</w:t>
            </w:r>
          </w:p>
          <w:p w14:paraId="7691290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7）总配电箱、开关箱未安装漏电保护器或不灵敏，扣10分</w:t>
            </w:r>
          </w:p>
          <w:p w14:paraId="0AC0385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8）配电箱与开关箱设置不符合规定要求，扣5分</w:t>
            </w:r>
          </w:p>
        </w:tc>
        <w:tc>
          <w:tcPr>
            <w:tcW w:w="720" w:type="dxa"/>
            <w:vAlign w:val="center"/>
          </w:tcPr>
          <w:p w14:paraId="56C908F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1C543B2">
            <w:pPr>
              <w:pStyle w:val="42"/>
              <w:rPr>
                <w:color w:val="000000" w:themeColor="text1"/>
                <w14:textFill>
                  <w14:solidFill>
                    <w14:schemeClr w14:val="tx1"/>
                  </w14:solidFill>
                </w14:textFill>
              </w:rPr>
            </w:pPr>
          </w:p>
        </w:tc>
        <w:tc>
          <w:tcPr>
            <w:tcW w:w="720" w:type="dxa"/>
            <w:vAlign w:val="center"/>
          </w:tcPr>
          <w:p w14:paraId="38B02556">
            <w:pPr>
              <w:pStyle w:val="42"/>
              <w:rPr>
                <w:color w:val="000000" w:themeColor="text1"/>
                <w14:textFill>
                  <w14:solidFill>
                    <w14:schemeClr w14:val="tx1"/>
                  </w14:solidFill>
                </w14:textFill>
              </w:rPr>
            </w:pPr>
          </w:p>
        </w:tc>
      </w:tr>
      <w:tr w14:paraId="6C36D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4D62D9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50CD629C">
            <w:pPr>
              <w:pStyle w:val="42"/>
              <w:rPr>
                <w:color w:val="000000" w:themeColor="text1"/>
                <w14:textFill>
                  <w14:solidFill>
                    <w14:schemeClr w14:val="tx1"/>
                  </w14:solidFill>
                </w14:textFill>
              </w:rPr>
            </w:pPr>
          </w:p>
        </w:tc>
        <w:tc>
          <w:tcPr>
            <w:tcW w:w="898" w:type="dxa"/>
            <w:vAlign w:val="center"/>
          </w:tcPr>
          <w:p w14:paraId="42B081B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配电室与</w:t>
            </w:r>
          </w:p>
          <w:p w14:paraId="69EF431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配电装置</w:t>
            </w:r>
          </w:p>
        </w:tc>
        <w:tc>
          <w:tcPr>
            <w:tcW w:w="5580" w:type="dxa"/>
            <w:vAlign w:val="center"/>
          </w:tcPr>
          <w:p w14:paraId="52E6C4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）配电室的建筑物和构筑物的耐火等级低于</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级，扣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分；配电室内无有效灭火器材，扣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53B287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）配电室和配电装置的布设不符合标准要求，扣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6E7781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）发电机组电源未与外电线路电源连锁，并列运行，扣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AD0B9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）发电机组并列运行时，未装设同期装置或同期装置不灵敏，扣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724298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）配电装置中的仪表、电器元件设置不符合标准要求，扣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BC045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）配电室未铺设绝缘垫或配电室杂乱，扣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9B1C1B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）配电室未采取防止小动物侵入的措施，扣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77E02D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）配电室未设置警示标志、供电平面图和系统图，扣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1B30F4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5511C75">
            <w:pPr>
              <w:pStyle w:val="42"/>
              <w:rPr>
                <w:color w:val="000000" w:themeColor="text1"/>
                <w14:textFill>
                  <w14:solidFill>
                    <w14:schemeClr w14:val="tx1"/>
                  </w14:solidFill>
                </w14:textFill>
              </w:rPr>
            </w:pPr>
          </w:p>
        </w:tc>
        <w:tc>
          <w:tcPr>
            <w:tcW w:w="720" w:type="dxa"/>
            <w:vAlign w:val="center"/>
          </w:tcPr>
          <w:p w14:paraId="4A23507F">
            <w:pPr>
              <w:pStyle w:val="42"/>
              <w:rPr>
                <w:color w:val="000000" w:themeColor="text1"/>
                <w14:textFill>
                  <w14:solidFill>
                    <w14:schemeClr w14:val="tx1"/>
                  </w14:solidFill>
                </w14:textFill>
              </w:rPr>
            </w:pPr>
          </w:p>
        </w:tc>
      </w:tr>
      <w:tr w14:paraId="1880E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440678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1630DC6A">
            <w:pPr>
              <w:pStyle w:val="42"/>
              <w:rPr>
                <w:color w:val="000000" w:themeColor="text1"/>
                <w14:textFill>
                  <w14:solidFill>
                    <w14:schemeClr w14:val="tx1"/>
                  </w14:solidFill>
                </w14:textFill>
              </w:rPr>
            </w:pPr>
          </w:p>
        </w:tc>
        <w:tc>
          <w:tcPr>
            <w:tcW w:w="898" w:type="dxa"/>
            <w:vAlign w:val="center"/>
          </w:tcPr>
          <w:p w14:paraId="7C387F0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使用与维护</w:t>
            </w:r>
          </w:p>
        </w:tc>
        <w:tc>
          <w:tcPr>
            <w:tcW w:w="5580" w:type="dxa"/>
            <w:vAlign w:val="center"/>
          </w:tcPr>
          <w:p w14:paraId="4DAC0C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）临时用电工程未定期检查、维修或无检查、维修记录，扣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707859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）电工未取得特种作业资格证，扣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AED24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）临时用电工程作业人员无电工操作证，扣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分；作业时无人监护，扣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EB595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）暂停用设备的开关箱未分断电源隔离开关或未关上门锁，扣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37DA96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）在检查、维修时未穿、戴绝缘鞋、手套，未使用电工绝缘工具，扣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D19C9A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5449A4E">
            <w:pPr>
              <w:pStyle w:val="42"/>
              <w:rPr>
                <w:color w:val="000000" w:themeColor="text1"/>
                <w14:textFill>
                  <w14:solidFill>
                    <w14:schemeClr w14:val="tx1"/>
                  </w14:solidFill>
                </w14:textFill>
              </w:rPr>
            </w:pPr>
          </w:p>
        </w:tc>
        <w:tc>
          <w:tcPr>
            <w:tcW w:w="720" w:type="dxa"/>
            <w:vAlign w:val="center"/>
          </w:tcPr>
          <w:p w14:paraId="4F4EACB4">
            <w:pPr>
              <w:pStyle w:val="42"/>
              <w:rPr>
                <w:color w:val="000000" w:themeColor="text1"/>
                <w14:textFill>
                  <w14:solidFill>
                    <w14:schemeClr w14:val="tx1"/>
                  </w14:solidFill>
                </w14:textFill>
              </w:rPr>
            </w:pPr>
          </w:p>
        </w:tc>
      </w:tr>
      <w:tr w14:paraId="36440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E945C12">
            <w:pPr>
              <w:pStyle w:val="42"/>
              <w:rPr>
                <w:color w:val="000000" w:themeColor="text1"/>
                <w14:textFill>
                  <w14:solidFill>
                    <w14:schemeClr w14:val="tx1"/>
                  </w14:solidFill>
                </w14:textFill>
              </w:rPr>
            </w:pPr>
          </w:p>
        </w:tc>
        <w:tc>
          <w:tcPr>
            <w:tcW w:w="543" w:type="dxa"/>
            <w:vMerge w:val="continue"/>
          </w:tcPr>
          <w:p w14:paraId="30B225AC">
            <w:pPr>
              <w:pStyle w:val="42"/>
              <w:rPr>
                <w:color w:val="000000" w:themeColor="text1"/>
                <w14:textFill>
                  <w14:solidFill>
                    <w14:schemeClr w14:val="tx1"/>
                  </w14:solidFill>
                </w14:textFill>
              </w:rPr>
            </w:pPr>
          </w:p>
        </w:tc>
        <w:tc>
          <w:tcPr>
            <w:tcW w:w="6478" w:type="dxa"/>
            <w:gridSpan w:val="2"/>
            <w:vAlign w:val="center"/>
          </w:tcPr>
          <w:p w14:paraId="1251CCC0">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5F2DF06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210F3CD0">
            <w:pPr>
              <w:pStyle w:val="42"/>
              <w:rPr>
                <w:color w:val="000000" w:themeColor="text1"/>
                <w14:textFill>
                  <w14:solidFill>
                    <w14:schemeClr w14:val="tx1"/>
                  </w14:solidFill>
                </w14:textFill>
              </w:rPr>
            </w:pPr>
          </w:p>
        </w:tc>
        <w:tc>
          <w:tcPr>
            <w:tcW w:w="720" w:type="dxa"/>
            <w:vAlign w:val="center"/>
          </w:tcPr>
          <w:p w14:paraId="3541D0F2">
            <w:pPr>
              <w:pStyle w:val="42"/>
              <w:rPr>
                <w:color w:val="000000" w:themeColor="text1"/>
                <w14:textFill>
                  <w14:solidFill>
                    <w14:schemeClr w14:val="tx1"/>
                  </w14:solidFill>
                </w14:textFill>
              </w:rPr>
            </w:pPr>
          </w:p>
        </w:tc>
      </w:tr>
      <w:tr w14:paraId="20FF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2F6980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254E6B9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0662887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1F16EE1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7FE89E6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5380764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电气消防安全</w:t>
            </w:r>
          </w:p>
        </w:tc>
        <w:tc>
          <w:tcPr>
            <w:tcW w:w="5580" w:type="dxa"/>
            <w:vAlign w:val="center"/>
          </w:tcPr>
          <w:p w14:paraId="3F40425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）电气设备未按标准要求设置过载、短路保护装置，扣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59B118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）电气线路或设备与可易燃材料距离不符合标准要求，扣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6247B4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）施工现场未配置适用于电气火灾的灭火器材，扣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C007B4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202EB3D">
            <w:pPr>
              <w:pStyle w:val="42"/>
              <w:rPr>
                <w:color w:val="000000" w:themeColor="text1"/>
                <w14:textFill>
                  <w14:solidFill>
                    <w14:schemeClr w14:val="tx1"/>
                  </w14:solidFill>
                </w14:textFill>
              </w:rPr>
            </w:pPr>
          </w:p>
        </w:tc>
        <w:tc>
          <w:tcPr>
            <w:tcW w:w="720" w:type="dxa"/>
            <w:vAlign w:val="center"/>
          </w:tcPr>
          <w:p w14:paraId="0F758615">
            <w:pPr>
              <w:pStyle w:val="42"/>
              <w:rPr>
                <w:color w:val="000000" w:themeColor="text1"/>
                <w14:textFill>
                  <w14:solidFill>
                    <w14:schemeClr w14:val="tx1"/>
                  </w14:solidFill>
                </w14:textFill>
              </w:rPr>
            </w:pPr>
          </w:p>
        </w:tc>
      </w:tr>
      <w:tr w14:paraId="76B40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525AEE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2EA567CD">
            <w:pPr>
              <w:pStyle w:val="42"/>
              <w:rPr>
                <w:color w:val="000000" w:themeColor="text1"/>
                <w14:textFill>
                  <w14:solidFill>
                    <w14:schemeClr w14:val="tx1"/>
                  </w14:solidFill>
                </w14:textFill>
              </w:rPr>
            </w:pPr>
          </w:p>
        </w:tc>
        <w:tc>
          <w:tcPr>
            <w:tcW w:w="898" w:type="dxa"/>
            <w:vAlign w:val="center"/>
          </w:tcPr>
          <w:p w14:paraId="70E7176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现场照明</w:t>
            </w:r>
          </w:p>
        </w:tc>
        <w:tc>
          <w:tcPr>
            <w:tcW w:w="5580" w:type="dxa"/>
            <w:vAlign w:val="center"/>
          </w:tcPr>
          <w:p w14:paraId="5971E17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）照明用电应与动力用电未分开设置，扣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521048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2）照明线路与安全电压线路的架设不符合标准要求，扣5-8分</w:t>
            </w:r>
          </w:p>
          <w:p w14:paraId="3E42D8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）隧道、人防工程等特殊场所使用的安全特低压照明器不符合标准要求，扣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07B285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4）照明未采用专用回路或专用回路未设置漏电保护装置，扣10分</w:t>
            </w:r>
          </w:p>
          <w:p w14:paraId="341D08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）照明变压器未采用双绕组安全隔离变压器，扣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093A22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6）照明灯具的金属外壳未与保护零线相连接，扣8分</w:t>
            </w:r>
          </w:p>
          <w:p w14:paraId="40B544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）灯具与地面、易燃物间的距离不符合标准要求，扣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176453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）未在标准要求的部位配备应急照明，扣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4D7850B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A2314FA">
            <w:pPr>
              <w:pStyle w:val="42"/>
              <w:rPr>
                <w:color w:val="000000" w:themeColor="text1"/>
                <w14:textFill>
                  <w14:solidFill>
                    <w14:schemeClr w14:val="tx1"/>
                  </w14:solidFill>
                </w14:textFill>
              </w:rPr>
            </w:pPr>
          </w:p>
        </w:tc>
        <w:tc>
          <w:tcPr>
            <w:tcW w:w="720" w:type="dxa"/>
            <w:vAlign w:val="center"/>
          </w:tcPr>
          <w:p w14:paraId="31B9F30B">
            <w:pPr>
              <w:pStyle w:val="42"/>
              <w:rPr>
                <w:color w:val="000000" w:themeColor="text1"/>
                <w14:textFill>
                  <w14:solidFill>
                    <w14:schemeClr w14:val="tx1"/>
                  </w14:solidFill>
                </w14:textFill>
              </w:rPr>
            </w:pPr>
          </w:p>
        </w:tc>
      </w:tr>
      <w:tr w14:paraId="0DA7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0AA5C1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34F6B02C">
            <w:pPr>
              <w:pStyle w:val="42"/>
              <w:rPr>
                <w:color w:val="000000" w:themeColor="text1"/>
                <w14:textFill>
                  <w14:solidFill>
                    <w14:schemeClr w14:val="tx1"/>
                  </w14:solidFill>
                </w14:textFill>
              </w:rPr>
            </w:pPr>
          </w:p>
        </w:tc>
        <w:tc>
          <w:tcPr>
            <w:tcW w:w="898" w:type="dxa"/>
            <w:vAlign w:val="center"/>
          </w:tcPr>
          <w:p w14:paraId="0BA1612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用电档案</w:t>
            </w:r>
          </w:p>
        </w:tc>
        <w:tc>
          <w:tcPr>
            <w:tcW w:w="5580" w:type="dxa"/>
            <w:vAlign w:val="center"/>
          </w:tcPr>
          <w:p w14:paraId="02472B5A">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1）无用电施工组织设计和外电防护专项方案，扣10分</w:t>
            </w:r>
          </w:p>
          <w:p w14:paraId="5EB57B2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）总包单位与分包单位未订立临时用电管理协议，扣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665AF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）未按规定履行施工组织设计和专项方案的审核、审批手续，扣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270FAB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）未建立安全技术档案，扣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4CCCFE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5）用电档案资料不齐全，无专人管理，扣5分</w:t>
            </w:r>
          </w:p>
          <w:p w14:paraId="4178BBA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）用电记录未按规定填写或造假用电记录，扣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3CEDDB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68D765C">
            <w:pPr>
              <w:pStyle w:val="42"/>
              <w:rPr>
                <w:color w:val="000000" w:themeColor="text1"/>
                <w14:textFill>
                  <w14:solidFill>
                    <w14:schemeClr w14:val="tx1"/>
                  </w14:solidFill>
                </w14:textFill>
              </w:rPr>
            </w:pPr>
          </w:p>
        </w:tc>
        <w:tc>
          <w:tcPr>
            <w:tcW w:w="720" w:type="dxa"/>
            <w:vAlign w:val="center"/>
          </w:tcPr>
          <w:p w14:paraId="0D10AA24">
            <w:pPr>
              <w:pStyle w:val="42"/>
              <w:rPr>
                <w:color w:val="000000" w:themeColor="text1"/>
                <w14:textFill>
                  <w14:solidFill>
                    <w14:schemeClr w14:val="tx1"/>
                  </w14:solidFill>
                </w14:textFill>
              </w:rPr>
            </w:pPr>
          </w:p>
        </w:tc>
      </w:tr>
      <w:tr w14:paraId="7F66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1794536">
            <w:pPr>
              <w:pStyle w:val="42"/>
              <w:rPr>
                <w:color w:val="000000" w:themeColor="text1"/>
                <w14:textFill>
                  <w14:solidFill>
                    <w14:schemeClr w14:val="tx1"/>
                  </w14:solidFill>
                </w14:textFill>
              </w:rPr>
            </w:pPr>
          </w:p>
        </w:tc>
        <w:tc>
          <w:tcPr>
            <w:tcW w:w="543" w:type="dxa"/>
            <w:vMerge w:val="continue"/>
          </w:tcPr>
          <w:p w14:paraId="11B4B506">
            <w:pPr>
              <w:pStyle w:val="42"/>
              <w:rPr>
                <w:color w:val="000000" w:themeColor="text1"/>
                <w14:textFill>
                  <w14:solidFill>
                    <w14:schemeClr w14:val="tx1"/>
                  </w14:solidFill>
                </w14:textFill>
              </w:rPr>
            </w:pPr>
          </w:p>
        </w:tc>
        <w:tc>
          <w:tcPr>
            <w:tcW w:w="6478" w:type="dxa"/>
            <w:gridSpan w:val="2"/>
            <w:vAlign w:val="center"/>
          </w:tcPr>
          <w:p w14:paraId="2F0CB39B">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0D84401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19FA92DD">
            <w:pPr>
              <w:pStyle w:val="42"/>
              <w:rPr>
                <w:color w:val="000000" w:themeColor="text1"/>
                <w14:textFill>
                  <w14:solidFill>
                    <w14:schemeClr w14:val="tx1"/>
                  </w14:solidFill>
                </w14:textFill>
              </w:rPr>
            </w:pPr>
          </w:p>
        </w:tc>
        <w:tc>
          <w:tcPr>
            <w:tcW w:w="720" w:type="dxa"/>
            <w:vAlign w:val="center"/>
          </w:tcPr>
          <w:p w14:paraId="4662BBEE">
            <w:pPr>
              <w:pStyle w:val="42"/>
              <w:rPr>
                <w:color w:val="000000" w:themeColor="text1"/>
                <w14:textFill>
                  <w14:solidFill>
                    <w14:schemeClr w14:val="tx1"/>
                  </w14:solidFill>
                </w14:textFill>
              </w:rPr>
            </w:pPr>
          </w:p>
        </w:tc>
      </w:tr>
      <w:tr w14:paraId="3331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63BEAB56">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7DDF0C9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3A099639">
            <w:pPr>
              <w:pStyle w:val="42"/>
              <w:rPr>
                <w:color w:val="000000" w:themeColor="text1"/>
                <w14:textFill>
                  <w14:solidFill>
                    <w14:schemeClr w14:val="tx1"/>
                  </w14:solidFill>
                </w14:textFill>
              </w:rPr>
            </w:pPr>
          </w:p>
        </w:tc>
        <w:tc>
          <w:tcPr>
            <w:tcW w:w="720" w:type="dxa"/>
            <w:vAlign w:val="center"/>
          </w:tcPr>
          <w:p w14:paraId="3B2B3E53">
            <w:pPr>
              <w:pStyle w:val="42"/>
              <w:rPr>
                <w:color w:val="000000" w:themeColor="text1"/>
                <w14:textFill>
                  <w14:solidFill>
                    <w14:schemeClr w14:val="tx1"/>
                  </w14:solidFill>
                </w14:textFill>
              </w:rPr>
            </w:pPr>
          </w:p>
        </w:tc>
      </w:tr>
    </w:tbl>
    <w:p w14:paraId="0CBE1FEA">
      <w:pPr>
        <w:pStyle w:val="3"/>
        <w:jc w:val="center"/>
        <w:rPr>
          <w:color w:val="000000" w:themeColor="text1"/>
          <w14:textFill>
            <w14:solidFill>
              <w14:schemeClr w14:val="tx1"/>
            </w14:solidFill>
          </w14:textFill>
        </w:rPr>
      </w:pPr>
      <w:bookmarkStart w:id="13" w:name="_Toc31480"/>
      <w:bookmarkStart w:id="14" w:name="_Toc22349"/>
      <w:bookmarkStart w:id="15" w:name="_Toc22459"/>
      <w:r>
        <w:rPr>
          <w:rFonts w:hint="eastAsia"/>
          <w:color w:val="000000" w:themeColor="text1"/>
          <w14:textFill>
            <w14:solidFill>
              <w14:schemeClr w14:val="tx1"/>
            </w14:solidFill>
          </w14:textFill>
        </w:rPr>
        <w:t>表</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 xml:space="preserve">  施工机具检查</w:t>
      </w:r>
      <w:r>
        <w:rPr>
          <w:color w:val="000000" w:themeColor="text1"/>
          <w14:textFill>
            <w14:solidFill>
              <w14:schemeClr w14:val="tx1"/>
            </w14:solidFill>
          </w14:textFill>
        </w:rPr>
        <w:t>评分表</w:t>
      </w:r>
      <w:bookmarkEnd w:id="13"/>
      <w:bookmarkEnd w:id="14"/>
      <w:bookmarkEnd w:id="15"/>
    </w:p>
    <w:tbl>
      <w:tblPr>
        <w:tblStyle w:val="17"/>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1140"/>
        <w:gridCol w:w="5338"/>
        <w:gridCol w:w="720"/>
        <w:gridCol w:w="720"/>
        <w:gridCol w:w="720"/>
      </w:tblGrid>
      <w:tr w14:paraId="0883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blHeader/>
          <w:jc w:val="center"/>
        </w:trPr>
        <w:tc>
          <w:tcPr>
            <w:tcW w:w="539" w:type="dxa"/>
            <w:vAlign w:val="center"/>
          </w:tcPr>
          <w:p w14:paraId="5D8B2B5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140" w:type="dxa"/>
            <w:vAlign w:val="center"/>
          </w:tcPr>
          <w:p w14:paraId="1967DEB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338" w:type="dxa"/>
            <w:vAlign w:val="center"/>
          </w:tcPr>
          <w:p w14:paraId="5C6DFED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72B4BDA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00B392C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6E75FE3E">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1ABD8D04">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71A8E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21CDC6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140" w:type="dxa"/>
            <w:vAlign w:val="center"/>
          </w:tcPr>
          <w:p w14:paraId="25AB4FF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平刨</w:t>
            </w:r>
          </w:p>
        </w:tc>
        <w:tc>
          <w:tcPr>
            <w:tcW w:w="5338" w:type="dxa"/>
            <w:vAlign w:val="center"/>
          </w:tcPr>
          <w:p w14:paraId="33A2AD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按规定履行验收程序</w:t>
            </w:r>
            <w:r>
              <w:rPr>
                <w:rFonts w:hint="eastAsia"/>
                <w:color w:val="000000" w:themeColor="text1"/>
                <w14:textFill>
                  <w14:solidFill>
                    <w14:schemeClr w14:val="tx1"/>
                  </w14:solidFill>
                </w14:textFill>
              </w:rPr>
              <w:t>或未经责任人签字确认，扣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2297363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设置护手及防护罩等安全装置</w:t>
            </w:r>
            <w:r>
              <w:rPr>
                <w:rFonts w:hint="eastAsia"/>
                <w:color w:val="000000" w:themeColor="text1"/>
                <w14:textFill>
                  <w14:solidFill>
                    <w14:schemeClr w14:val="tx1"/>
                  </w14:solidFill>
                </w14:textFill>
              </w:rPr>
              <w:t>，扣5分</w:t>
            </w:r>
          </w:p>
          <w:p w14:paraId="5C52E6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r>
              <w:rPr>
                <w:rFonts w:hint="eastAsia"/>
                <w:color w:val="000000" w:themeColor="text1"/>
                <w14:textFill>
                  <w14:solidFill>
                    <w14:schemeClr w14:val="tx1"/>
                  </w14:solidFill>
                </w14:textFill>
              </w:rPr>
              <w:t>，扣7分</w:t>
            </w:r>
          </w:p>
          <w:p w14:paraId="0965EE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）未设置作业棚，扣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分；防护棚不符合规定要求，扣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069DE3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5）使用同台电机驱动多种刃具、钻具的多功能木工机具</w:t>
            </w:r>
            <w:r>
              <w:rPr>
                <w:rFonts w:hint="eastAsia"/>
                <w:color w:val="000000" w:themeColor="text1"/>
                <w14:textFill>
                  <w14:solidFill>
                    <w14:schemeClr w14:val="tx1"/>
                  </w14:solidFill>
                </w14:textFill>
              </w:rPr>
              <w:t>，扣7分</w:t>
            </w:r>
          </w:p>
          <w:p w14:paraId="3710743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）未在明显位置悬挂平刨使用操作规程，扣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DB8D8D1">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720" w:type="dxa"/>
            <w:vAlign w:val="center"/>
          </w:tcPr>
          <w:p w14:paraId="74D78200">
            <w:pPr>
              <w:pStyle w:val="42"/>
              <w:rPr>
                <w:color w:val="000000" w:themeColor="text1"/>
                <w14:textFill>
                  <w14:solidFill>
                    <w14:schemeClr w14:val="tx1"/>
                  </w14:solidFill>
                </w14:textFill>
              </w:rPr>
            </w:pPr>
          </w:p>
        </w:tc>
        <w:tc>
          <w:tcPr>
            <w:tcW w:w="720" w:type="dxa"/>
            <w:vAlign w:val="center"/>
          </w:tcPr>
          <w:p w14:paraId="6CE2516A">
            <w:pPr>
              <w:pStyle w:val="42"/>
              <w:rPr>
                <w:color w:val="000000" w:themeColor="text1"/>
                <w14:textFill>
                  <w14:solidFill>
                    <w14:schemeClr w14:val="tx1"/>
                  </w14:solidFill>
                </w14:textFill>
              </w:rPr>
            </w:pPr>
          </w:p>
        </w:tc>
      </w:tr>
      <w:tr w14:paraId="6B37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1043B10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40" w:type="dxa"/>
            <w:vAlign w:val="center"/>
          </w:tcPr>
          <w:p w14:paraId="55F7AA0F">
            <w:pPr>
              <w:pStyle w:val="42"/>
              <w:rPr>
                <w:color w:val="000000" w:themeColor="text1"/>
                <w14:textFill>
                  <w14:solidFill>
                    <w14:schemeClr w14:val="tx1"/>
                  </w14:solidFill>
                </w14:textFill>
              </w:rPr>
            </w:pPr>
            <w:r>
              <w:rPr>
                <w:color w:val="000000" w:themeColor="text1"/>
                <w14:textFill>
                  <w14:solidFill>
                    <w14:schemeClr w14:val="tx1"/>
                  </w14:solidFill>
                </w14:textFill>
              </w:rPr>
              <w:t>圆盘锯</w:t>
            </w:r>
          </w:p>
        </w:tc>
        <w:tc>
          <w:tcPr>
            <w:tcW w:w="5338" w:type="dxa"/>
            <w:vAlign w:val="center"/>
          </w:tcPr>
          <w:p w14:paraId="281296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按规定履行验收程序</w:t>
            </w:r>
            <w:r>
              <w:rPr>
                <w:rFonts w:hint="eastAsia"/>
                <w:color w:val="000000" w:themeColor="text1"/>
                <w14:textFill>
                  <w14:solidFill>
                    <w14:schemeClr w14:val="tx1"/>
                  </w14:solidFill>
                </w14:textFill>
              </w:rPr>
              <w:t>或未经责任人签字确认，扣7分</w:t>
            </w:r>
          </w:p>
          <w:p w14:paraId="1D93DB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设置防护罩、分料器、防护挡板等安全装置</w:t>
            </w:r>
            <w:r>
              <w:rPr>
                <w:rFonts w:hint="eastAsia"/>
                <w:color w:val="000000" w:themeColor="text1"/>
                <w14:textFill>
                  <w14:solidFill>
                    <w14:schemeClr w14:val="tx1"/>
                  </w14:solidFill>
                </w14:textFill>
              </w:rPr>
              <w:t>，扣5分</w:t>
            </w:r>
          </w:p>
          <w:p w14:paraId="7F5504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r>
              <w:rPr>
                <w:rFonts w:hint="eastAsia"/>
                <w:color w:val="000000" w:themeColor="text1"/>
                <w14:textFill>
                  <w14:solidFill>
                    <w14:schemeClr w14:val="tx1"/>
                  </w14:solidFill>
                </w14:textFill>
              </w:rPr>
              <w:t>，扣7分</w:t>
            </w:r>
          </w:p>
          <w:p w14:paraId="720B7DA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）未设置作业棚，扣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分；防护棚不符合规定要求，扣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2933A2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）使用同台电机驱动多种刃具、钻具的多功能木工机具，扣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2653A9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）未在明显位置应悬挂圆盘锯使用操作规程，扣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CB75B9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73E835E3">
            <w:pPr>
              <w:pStyle w:val="42"/>
              <w:rPr>
                <w:color w:val="000000" w:themeColor="text1"/>
                <w14:textFill>
                  <w14:solidFill>
                    <w14:schemeClr w14:val="tx1"/>
                  </w14:solidFill>
                </w14:textFill>
              </w:rPr>
            </w:pPr>
          </w:p>
        </w:tc>
        <w:tc>
          <w:tcPr>
            <w:tcW w:w="720" w:type="dxa"/>
            <w:vAlign w:val="center"/>
          </w:tcPr>
          <w:p w14:paraId="62D91642">
            <w:pPr>
              <w:pStyle w:val="42"/>
              <w:rPr>
                <w:color w:val="000000" w:themeColor="text1"/>
                <w14:textFill>
                  <w14:solidFill>
                    <w14:schemeClr w14:val="tx1"/>
                  </w14:solidFill>
                </w14:textFill>
              </w:rPr>
            </w:pPr>
          </w:p>
        </w:tc>
      </w:tr>
      <w:tr w14:paraId="4BFB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7EB8AB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140" w:type="dxa"/>
            <w:vAlign w:val="center"/>
          </w:tcPr>
          <w:p w14:paraId="41623DA6">
            <w:pPr>
              <w:pStyle w:val="42"/>
              <w:rPr>
                <w:color w:val="000000" w:themeColor="text1"/>
                <w14:textFill>
                  <w14:solidFill>
                    <w14:schemeClr w14:val="tx1"/>
                  </w14:solidFill>
                </w14:textFill>
              </w:rPr>
            </w:pPr>
            <w:r>
              <w:rPr>
                <w:color w:val="000000" w:themeColor="text1"/>
                <w14:textFill>
                  <w14:solidFill>
                    <w14:schemeClr w14:val="tx1"/>
                  </w14:solidFill>
                </w14:textFill>
              </w:rPr>
              <w:t>手持电动工具</w:t>
            </w:r>
          </w:p>
        </w:tc>
        <w:tc>
          <w:tcPr>
            <w:tcW w:w="5338" w:type="dxa"/>
            <w:vAlign w:val="center"/>
          </w:tcPr>
          <w:p w14:paraId="495645E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1）使用手持电动工具时，</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穿戴劳动防护用品</w:t>
            </w:r>
            <w:r>
              <w:rPr>
                <w:rFonts w:hint="eastAsia"/>
                <w:color w:val="000000" w:themeColor="text1"/>
                <w14:textFill>
                  <w14:solidFill>
                    <w14:schemeClr w14:val="tx1"/>
                  </w14:solidFill>
                </w14:textFill>
              </w:rPr>
              <w:t>，扣5分</w:t>
            </w:r>
          </w:p>
          <w:p w14:paraId="1D53A50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）Ⅰ类手持电动工具</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r>
              <w:rPr>
                <w:rFonts w:hint="eastAsia"/>
                <w:color w:val="000000" w:themeColor="text1"/>
                <w14:textFill>
                  <w14:solidFill>
                    <w14:schemeClr w14:val="tx1"/>
                  </w14:solidFill>
                </w14:textFill>
              </w:rPr>
              <w:t>，扣7分</w:t>
            </w:r>
          </w:p>
          <w:p w14:paraId="3062685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）负荷线未采用耐气候型橡胶护套铜芯软电缆，扣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分；负荷线有接头，每个接头扣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3E1ED049">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720" w:type="dxa"/>
            <w:vAlign w:val="center"/>
          </w:tcPr>
          <w:p w14:paraId="02648976">
            <w:pPr>
              <w:pStyle w:val="42"/>
              <w:rPr>
                <w:color w:val="000000" w:themeColor="text1"/>
                <w14:textFill>
                  <w14:solidFill>
                    <w14:schemeClr w14:val="tx1"/>
                  </w14:solidFill>
                </w14:textFill>
              </w:rPr>
            </w:pPr>
          </w:p>
        </w:tc>
        <w:tc>
          <w:tcPr>
            <w:tcW w:w="720" w:type="dxa"/>
            <w:vAlign w:val="center"/>
          </w:tcPr>
          <w:p w14:paraId="28DBF119">
            <w:pPr>
              <w:pStyle w:val="42"/>
              <w:rPr>
                <w:color w:val="000000" w:themeColor="text1"/>
                <w14:textFill>
                  <w14:solidFill>
                    <w14:schemeClr w14:val="tx1"/>
                  </w14:solidFill>
                </w14:textFill>
              </w:rPr>
            </w:pPr>
          </w:p>
        </w:tc>
      </w:tr>
      <w:tr w14:paraId="43EDF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92FA12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1140" w:type="dxa"/>
            <w:vAlign w:val="center"/>
          </w:tcPr>
          <w:p w14:paraId="0E5DEDB9">
            <w:pPr>
              <w:pStyle w:val="42"/>
              <w:rPr>
                <w:color w:val="000000" w:themeColor="text1"/>
                <w14:textFill>
                  <w14:solidFill>
                    <w14:schemeClr w14:val="tx1"/>
                  </w14:solidFill>
                </w14:textFill>
              </w:rPr>
            </w:pPr>
            <w:r>
              <w:rPr>
                <w:color w:val="000000" w:themeColor="text1"/>
                <w14:textFill>
                  <w14:solidFill>
                    <w14:schemeClr w14:val="tx1"/>
                  </w14:solidFill>
                </w14:textFill>
              </w:rPr>
              <w:t>钢筋机械</w:t>
            </w:r>
          </w:p>
        </w:tc>
        <w:tc>
          <w:tcPr>
            <w:tcW w:w="5338" w:type="dxa"/>
            <w:vAlign w:val="center"/>
          </w:tcPr>
          <w:p w14:paraId="60371CA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按规定履行验收程序</w:t>
            </w:r>
            <w:r>
              <w:rPr>
                <w:rFonts w:hint="eastAsia"/>
                <w:color w:val="000000" w:themeColor="text1"/>
                <w14:textFill>
                  <w14:solidFill>
                    <w14:schemeClr w14:val="tx1"/>
                  </w14:solidFill>
                </w14:textFill>
              </w:rPr>
              <w:t>或未经责任人签字确认，扣7分</w:t>
            </w:r>
          </w:p>
          <w:p w14:paraId="3187876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r>
              <w:rPr>
                <w:rFonts w:hint="eastAsia"/>
                <w:color w:val="000000" w:themeColor="text1"/>
                <w14:textFill>
                  <w14:solidFill>
                    <w14:schemeClr w14:val="tx1"/>
                  </w14:solidFill>
                </w14:textFill>
              </w:rPr>
              <w:t>，扣7分</w:t>
            </w:r>
          </w:p>
          <w:p w14:paraId="570640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）未设置作业棚，扣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分；防护棚不符合规定要求，扣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7FDD53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）钢筋对焊作业区未设置防火花飞溅的措施，扣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3B79BD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5）钢筋冷拉作业</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按规定设置防护栏</w:t>
            </w:r>
            <w:r>
              <w:rPr>
                <w:rFonts w:hint="eastAsia"/>
                <w:color w:val="000000" w:themeColor="text1"/>
                <w14:textFill>
                  <w14:solidFill>
                    <w14:schemeClr w14:val="tx1"/>
                  </w14:solidFill>
                </w14:textFill>
              </w:rPr>
              <w:t>，扣5分</w:t>
            </w:r>
          </w:p>
          <w:p w14:paraId="342A75E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6）机械传动部位</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设置防护罩</w:t>
            </w:r>
            <w:r>
              <w:rPr>
                <w:rFonts w:hint="eastAsia"/>
                <w:color w:val="000000" w:themeColor="text1"/>
                <w14:textFill>
                  <w14:solidFill>
                    <w14:schemeClr w14:val="tx1"/>
                  </w14:solidFill>
                </w14:textFill>
              </w:rPr>
              <w:t>，扣5分</w:t>
            </w:r>
          </w:p>
          <w:p w14:paraId="439141B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）未在显位置应悬挂钢筋机械使用操作规程，扣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BBEEACD">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720" w:type="dxa"/>
            <w:vAlign w:val="center"/>
          </w:tcPr>
          <w:p w14:paraId="70FE37D2">
            <w:pPr>
              <w:pStyle w:val="42"/>
              <w:rPr>
                <w:color w:val="000000" w:themeColor="text1"/>
                <w14:textFill>
                  <w14:solidFill>
                    <w14:schemeClr w14:val="tx1"/>
                  </w14:solidFill>
                </w14:textFill>
              </w:rPr>
            </w:pPr>
          </w:p>
        </w:tc>
        <w:tc>
          <w:tcPr>
            <w:tcW w:w="720" w:type="dxa"/>
            <w:vAlign w:val="center"/>
          </w:tcPr>
          <w:p w14:paraId="4F60151E">
            <w:pPr>
              <w:pStyle w:val="42"/>
              <w:rPr>
                <w:color w:val="000000" w:themeColor="text1"/>
                <w14:textFill>
                  <w14:solidFill>
                    <w14:schemeClr w14:val="tx1"/>
                  </w14:solidFill>
                </w14:textFill>
              </w:rPr>
            </w:pPr>
          </w:p>
        </w:tc>
      </w:tr>
      <w:tr w14:paraId="15C81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D347FE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1140" w:type="dxa"/>
            <w:vAlign w:val="center"/>
          </w:tcPr>
          <w:p w14:paraId="3FCFCB35">
            <w:pPr>
              <w:pStyle w:val="42"/>
              <w:rPr>
                <w:color w:val="000000" w:themeColor="text1"/>
                <w14:textFill>
                  <w14:solidFill>
                    <w14:schemeClr w14:val="tx1"/>
                  </w14:solidFill>
                </w14:textFill>
              </w:rPr>
            </w:pPr>
            <w:r>
              <w:rPr>
                <w:color w:val="000000" w:themeColor="text1"/>
                <w14:textFill>
                  <w14:solidFill>
                    <w14:schemeClr w14:val="tx1"/>
                  </w14:solidFill>
                </w14:textFill>
              </w:rPr>
              <w:t>电焊机</w:t>
            </w:r>
          </w:p>
        </w:tc>
        <w:tc>
          <w:tcPr>
            <w:tcW w:w="5338" w:type="dxa"/>
            <w:vAlign w:val="center"/>
          </w:tcPr>
          <w:p w14:paraId="3E0A1DD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按规定履行验收程序</w:t>
            </w:r>
            <w:r>
              <w:rPr>
                <w:rFonts w:hint="eastAsia"/>
                <w:color w:val="000000" w:themeColor="text1"/>
                <w14:textFill>
                  <w14:solidFill>
                    <w14:schemeClr w14:val="tx1"/>
                  </w14:solidFill>
                </w14:textFill>
              </w:rPr>
              <w:t>或未经责任人签字确认，扣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0FAD9DE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r>
              <w:rPr>
                <w:rFonts w:hint="eastAsia"/>
                <w:color w:val="000000" w:themeColor="text1"/>
                <w14:textFill>
                  <w14:solidFill>
                    <w14:schemeClr w14:val="tx1"/>
                  </w14:solidFill>
                </w14:textFill>
              </w:rPr>
              <w:t>，扣7分</w:t>
            </w:r>
          </w:p>
          <w:p w14:paraId="08A62D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设置二次空载降压保护器</w:t>
            </w:r>
            <w:r>
              <w:rPr>
                <w:rFonts w:hint="eastAsia"/>
                <w:color w:val="000000" w:themeColor="text1"/>
                <w14:textFill>
                  <w14:solidFill>
                    <w14:schemeClr w14:val="tx1"/>
                  </w14:solidFill>
                </w14:textFill>
              </w:rPr>
              <w:t>，扣7分</w:t>
            </w:r>
          </w:p>
          <w:p w14:paraId="0FF93AF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）一次侧电源线长度大于</w:t>
            </w:r>
            <w:r>
              <w:rPr>
                <w:color w:val="000000" w:themeColor="text1"/>
                <w14:textFill>
                  <w14:solidFill>
                    <w14:schemeClr w14:val="tx1"/>
                  </w14:solidFill>
                </w14:textFill>
              </w:rPr>
              <w:t>5m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4A56D3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5）二次线未采用防水橡皮护套铜芯软电缆，扣7分</w:t>
            </w:r>
          </w:p>
          <w:p w14:paraId="47EE791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6）二次线长度超过规定或绝缘老化，扣7分</w:t>
            </w:r>
          </w:p>
          <w:p w14:paraId="1CD1914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7）电</w:t>
            </w:r>
            <w:r>
              <w:rPr>
                <w:color w:val="000000" w:themeColor="text1"/>
                <w14:textFill>
                  <w14:solidFill>
                    <w14:schemeClr w14:val="tx1"/>
                  </w14:solidFill>
                </w14:textFill>
              </w:rPr>
              <w:t>焊机</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设置防雨罩</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接线柱</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设置防护罩</w:t>
            </w:r>
            <w:r>
              <w:rPr>
                <w:rFonts w:hint="eastAsia"/>
                <w:color w:val="000000" w:themeColor="text1"/>
                <w14:textFill>
                  <w14:solidFill>
                    <w14:schemeClr w14:val="tx1"/>
                  </w14:solidFill>
                </w14:textFill>
              </w:rPr>
              <w:t>，扣5分</w:t>
            </w:r>
          </w:p>
          <w:p w14:paraId="227D476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交流电焊机</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安装防二次侧触电保护装置</w:t>
            </w:r>
            <w:r>
              <w:rPr>
                <w:rFonts w:hint="eastAsia"/>
                <w:color w:val="000000" w:themeColor="text1"/>
                <w14:textFill>
                  <w14:solidFill>
                    <w14:schemeClr w14:val="tx1"/>
                  </w14:solidFill>
                </w14:textFill>
              </w:rPr>
              <w:t>，扣7分</w:t>
            </w:r>
          </w:p>
          <w:p w14:paraId="517ADF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）未在明显位置应悬挂电焊机使用操作规程，扣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099152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282B0720">
            <w:pPr>
              <w:pStyle w:val="42"/>
              <w:rPr>
                <w:color w:val="000000" w:themeColor="text1"/>
                <w14:textFill>
                  <w14:solidFill>
                    <w14:schemeClr w14:val="tx1"/>
                  </w14:solidFill>
                </w14:textFill>
              </w:rPr>
            </w:pPr>
          </w:p>
        </w:tc>
        <w:tc>
          <w:tcPr>
            <w:tcW w:w="720" w:type="dxa"/>
            <w:vAlign w:val="center"/>
          </w:tcPr>
          <w:p w14:paraId="1FCE4500">
            <w:pPr>
              <w:pStyle w:val="42"/>
              <w:rPr>
                <w:color w:val="000000" w:themeColor="text1"/>
                <w14:textFill>
                  <w14:solidFill>
                    <w14:schemeClr w14:val="tx1"/>
                  </w14:solidFill>
                </w14:textFill>
              </w:rPr>
            </w:pPr>
          </w:p>
        </w:tc>
      </w:tr>
      <w:tr w14:paraId="39694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B8EE81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1140" w:type="dxa"/>
            <w:vAlign w:val="center"/>
          </w:tcPr>
          <w:p w14:paraId="6B9554E9">
            <w:pPr>
              <w:pStyle w:val="42"/>
              <w:rPr>
                <w:color w:val="000000" w:themeColor="text1"/>
                <w14:textFill>
                  <w14:solidFill>
                    <w14:schemeClr w14:val="tx1"/>
                  </w14:solidFill>
                </w14:textFill>
              </w:rPr>
            </w:pPr>
            <w:r>
              <w:rPr>
                <w:color w:val="000000" w:themeColor="text1"/>
                <w14:textFill>
                  <w14:solidFill>
                    <w14:schemeClr w14:val="tx1"/>
                  </w14:solidFill>
                </w14:textFill>
              </w:rPr>
              <w:t>搅拌机</w:t>
            </w:r>
          </w:p>
        </w:tc>
        <w:tc>
          <w:tcPr>
            <w:tcW w:w="5338" w:type="dxa"/>
            <w:vAlign w:val="center"/>
          </w:tcPr>
          <w:p w14:paraId="2936AB2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w:t>
            </w:r>
            <w:r>
              <w:rPr>
                <w:color w:val="000000" w:themeColor="text1"/>
                <w14:textFill>
                  <w14:solidFill>
                    <w14:schemeClr w14:val="tx1"/>
                  </w14:solidFill>
                </w14:textFill>
              </w:rPr>
              <w:t>按规定履行验收程序</w:t>
            </w:r>
            <w:r>
              <w:rPr>
                <w:rFonts w:hint="eastAsia"/>
                <w:color w:val="000000" w:themeColor="text1"/>
                <w14:textFill>
                  <w14:solidFill>
                    <w14:schemeClr w14:val="tx1"/>
                  </w14:solidFill>
                </w14:textFill>
              </w:rPr>
              <w:t>或未经责任人签字确认扣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2C8A58D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76FB254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3）离合器、制动器、钢丝绳未达到规定要求，扣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50ED48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）上料斗未设置安全挂钩或止挡装置，扣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05B8C1C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color w:val="000000" w:themeColor="text1"/>
                <w14:textFill>
                  <w14:solidFill>
                    <w14:schemeClr w14:val="tx1"/>
                  </w14:solidFill>
                </w14:textFill>
              </w:rPr>
              <w:t>传动部位</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设置防护罩</w:t>
            </w:r>
            <w:r>
              <w:rPr>
                <w:rFonts w:hint="eastAsia"/>
                <w:color w:val="000000" w:themeColor="text1"/>
                <w14:textFill>
                  <w14:solidFill>
                    <w14:schemeClr w14:val="tx1"/>
                  </w14:solidFill>
                </w14:textFill>
              </w:rPr>
              <w:t>，扣5分</w:t>
            </w:r>
          </w:p>
          <w:p w14:paraId="7D40425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设置作业棚，</w:t>
            </w:r>
            <w:r>
              <w:rPr>
                <w:rFonts w:hint="eastAsia"/>
                <w:color w:val="000000" w:themeColor="text1"/>
                <w14:textFill>
                  <w14:solidFill>
                    <w14:schemeClr w14:val="tx1"/>
                  </w14:solidFill>
                </w14:textFill>
              </w:rPr>
              <w:t>扣7分；防护棚不符合规定要求，扣4分</w:t>
            </w:r>
          </w:p>
          <w:p w14:paraId="2C87648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6）作业平台不稳当，扣5分</w:t>
            </w:r>
          </w:p>
          <w:p w14:paraId="56039B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）未在明显位置应悬挂搅拌机使用操作规程，扣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2ABB5CF">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720" w:type="dxa"/>
            <w:vAlign w:val="center"/>
          </w:tcPr>
          <w:p w14:paraId="0D379DFA">
            <w:pPr>
              <w:pStyle w:val="42"/>
              <w:rPr>
                <w:color w:val="000000" w:themeColor="text1"/>
                <w14:textFill>
                  <w14:solidFill>
                    <w14:schemeClr w14:val="tx1"/>
                  </w14:solidFill>
                </w14:textFill>
              </w:rPr>
            </w:pPr>
          </w:p>
        </w:tc>
        <w:tc>
          <w:tcPr>
            <w:tcW w:w="720" w:type="dxa"/>
            <w:vAlign w:val="center"/>
          </w:tcPr>
          <w:p w14:paraId="5989C9FE">
            <w:pPr>
              <w:pStyle w:val="42"/>
              <w:rPr>
                <w:color w:val="000000" w:themeColor="text1"/>
                <w14:textFill>
                  <w14:solidFill>
                    <w14:schemeClr w14:val="tx1"/>
                  </w14:solidFill>
                </w14:textFill>
              </w:rPr>
            </w:pPr>
          </w:p>
        </w:tc>
      </w:tr>
      <w:tr w14:paraId="030A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468C60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1140" w:type="dxa"/>
            <w:vAlign w:val="center"/>
          </w:tcPr>
          <w:p w14:paraId="4DC58C4D">
            <w:pPr>
              <w:pStyle w:val="42"/>
              <w:rPr>
                <w:color w:val="000000" w:themeColor="text1"/>
                <w14:textFill>
                  <w14:solidFill>
                    <w14:schemeClr w14:val="tx1"/>
                  </w14:solidFill>
                </w14:textFill>
              </w:rPr>
            </w:pPr>
            <w:r>
              <w:rPr>
                <w:color w:val="000000" w:themeColor="text1"/>
                <w14:textFill>
                  <w14:solidFill>
                    <w14:schemeClr w14:val="tx1"/>
                  </w14:solidFill>
                </w14:textFill>
              </w:rPr>
              <w:t>气瓶</w:t>
            </w:r>
          </w:p>
        </w:tc>
        <w:tc>
          <w:tcPr>
            <w:tcW w:w="5338" w:type="dxa"/>
            <w:vAlign w:val="center"/>
          </w:tcPr>
          <w:p w14:paraId="35EAE8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）未安装减压器、回火防止器或不灵敏，扣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5DFF34F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2）气瓶</w:t>
            </w:r>
            <w:r>
              <w:rPr>
                <w:rFonts w:hint="eastAsia"/>
                <w:color w:val="000000" w:themeColor="text1"/>
                <w14:textFill>
                  <w14:solidFill>
                    <w14:schemeClr w14:val="tx1"/>
                  </w14:solidFill>
                </w14:textFill>
              </w:rPr>
              <w:t>未设置</w:t>
            </w:r>
            <w:r>
              <w:rPr>
                <w:color w:val="000000" w:themeColor="text1"/>
                <w14:textFill>
                  <w14:solidFill>
                    <w14:schemeClr w14:val="tx1"/>
                  </w14:solidFill>
                </w14:textFill>
              </w:rPr>
              <w:t>防震圈、防护帽，</w:t>
            </w:r>
            <w:r>
              <w:rPr>
                <w:rFonts w:hint="eastAsia"/>
                <w:color w:val="000000" w:themeColor="text1"/>
                <w14:textFill>
                  <w14:solidFill>
                    <w14:schemeClr w14:val="tx1"/>
                  </w14:solidFill>
                </w14:textFill>
              </w:rPr>
              <w:t>未分类存放，扣7分</w:t>
            </w:r>
          </w:p>
          <w:p w14:paraId="702F8D8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）乙炔瓶与氧气瓶之间的距离、气瓶与明火之间的距离不符合规定要求，扣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2CD6C4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）气瓶暴晒或倾倒放置，扣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FD7F7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）同时使用两种气体作业时，未安装单向阀，扣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tc>
        <w:tc>
          <w:tcPr>
            <w:tcW w:w="720" w:type="dxa"/>
            <w:vAlign w:val="center"/>
          </w:tcPr>
          <w:p w14:paraId="59EEA68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69928C3A">
            <w:pPr>
              <w:pStyle w:val="42"/>
              <w:rPr>
                <w:color w:val="000000" w:themeColor="text1"/>
                <w14:textFill>
                  <w14:solidFill>
                    <w14:schemeClr w14:val="tx1"/>
                  </w14:solidFill>
                </w14:textFill>
              </w:rPr>
            </w:pPr>
          </w:p>
        </w:tc>
        <w:tc>
          <w:tcPr>
            <w:tcW w:w="720" w:type="dxa"/>
            <w:vAlign w:val="center"/>
          </w:tcPr>
          <w:p w14:paraId="5507BD71">
            <w:pPr>
              <w:pStyle w:val="42"/>
              <w:rPr>
                <w:color w:val="000000" w:themeColor="text1"/>
                <w14:textFill>
                  <w14:solidFill>
                    <w14:schemeClr w14:val="tx1"/>
                  </w14:solidFill>
                </w14:textFill>
              </w:rPr>
            </w:pPr>
          </w:p>
        </w:tc>
      </w:tr>
      <w:tr w14:paraId="7520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797902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1140" w:type="dxa"/>
            <w:vAlign w:val="center"/>
          </w:tcPr>
          <w:p w14:paraId="72259C7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潜水泵</w:t>
            </w:r>
          </w:p>
        </w:tc>
        <w:tc>
          <w:tcPr>
            <w:tcW w:w="5338" w:type="dxa"/>
            <w:vAlign w:val="center"/>
          </w:tcPr>
          <w:p w14:paraId="273A110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r>
              <w:rPr>
                <w:rFonts w:hint="eastAsia"/>
                <w:color w:val="000000" w:themeColor="text1"/>
                <w14:textFill>
                  <w14:solidFill>
                    <w14:schemeClr w14:val="tx1"/>
                  </w14:solidFill>
                </w14:textFill>
              </w:rPr>
              <w:t>，扣7分</w:t>
            </w:r>
          </w:p>
          <w:p w14:paraId="123631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）负荷线未采用专用防水橡皮电缆，扣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分；负荷线每个接头扣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62A95B1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64D76CD7">
            <w:pPr>
              <w:pStyle w:val="42"/>
              <w:rPr>
                <w:color w:val="000000" w:themeColor="text1"/>
                <w14:textFill>
                  <w14:solidFill>
                    <w14:schemeClr w14:val="tx1"/>
                  </w14:solidFill>
                </w14:textFill>
              </w:rPr>
            </w:pPr>
          </w:p>
        </w:tc>
        <w:tc>
          <w:tcPr>
            <w:tcW w:w="720" w:type="dxa"/>
            <w:vAlign w:val="center"/>
          </w:tcPr>
          <w:p w14:paraId="7153F91C">
            <w:pPr>
              <w:pStyle w:val="42"/>
              <w:rPr>
                <w:color w:val="000000" w:themeColor="text1"/>
                <w14:textFill>
                  <w14:solidFill>
                    <w14:schemeClr w14:val="tx1"/>
                  </w14:solidFill>
                </w14:textFill>
              </w:rPr>
            </w:pPr>
          </w:p>
        </w:tc>
      </w:tr>
      <w:tr w14:paraId="4985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044FC3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1140" w:type="dxa"/>
            <w:vAlign w:val="center"/>
          </w:tcPr>
          <w:p w14:paraId="38908F4E">
            <w:pPr>
              <w:pStyle w:val="42"/>
              <w:rPr>
                <w:color w:val="000000" w:themeColor="text1"/>
                <w14:textFill>
                  <w14:solidFill>
                    <w14:schemeClr w14:val="tx1"/>
                  </w14:solidFill>
                </w14:textFill>
              </w:rPr>
            </w:pPr>
            <w:r>
              <w:rPr>
                <w:color w:val="000000" w:themeColor="text1"/>
                <w14:textFill>
                  <w14:solidFill>
                    <w14:schemeClr w14:val="tx1"/>
                  </w14:solidFill>
                </w14:textFill>
              </w:rPr>
              <w:t>振捣器</w:t>
            </w:r>
          </w:p>
        </w:tc>
        <w:tc>
          <w:tcPr>
            <w:tcW w:w="5338" w:type="dxa"/>
            <w:vAlign w:val="center"/>
          </w:tcPr>
          <w:p w14:paraId="6C7102C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单独设置保护零线</w:t>
            </w:r>
            <w:r>
              <w:rPr>
                <w:rFonts w:hint="eastAsia"/>
                <w:color w:val="000000" w:themeColor="text1"/>
                <w14:textFill>
                  <w14:solidFill>
                    <w14:schemeClr w14:val="tx1"/>
                  </w14:solidFill>
                </w14:textFill>
              </w:rPr>
              <w:t>或未</w:t>
            </w:r>
            <w:r>
              <w:rPr>
                <w:color w:val="000000" w:themeColor="text1"/>
                <w14:textFill>
                  <w14:solidFill>
                    <w14:schemeClr w14:val="tx1"/>
                  </w14:solidFill>
                </w14:textFill>
              </w:rPr>
              <w:t>安装漏电保护装置；</w:t>
            </w:r>
          </w:p>
          <w:p w14:paraId="11A49F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2）振捣器作业时</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使用移动式配电箱</w:t>
            </w:r>
            <w:r>
              <w:rPr>
                <w:rFonts w:hint="eastAsia"/>
                <w:color w:val="000000" w:themeColor="text1"/>
                <w14:textFill>
                  <w14:solidFill>
                    <w14:schemeClr w14:val="tx1"/>
                  </w14:solidFill>
                </w14:textFill>
              </w:rPr>
              <w:t>，扣7分；</w:t>
            </w:r>
            <w:r>
              <w:rPr>
                <w:color w:val="000000" w:themeColor="text1"/>
                <w14:textFill>
                  <w14:solidFill>
                    <w14:schemeClr w14:val="tx1"/>
                  </w14:solidFill>
                </w14:textFill>
              </w:rPr>
              <w:t>电缆长度超过30m</w:t>
            </w:r>
            <w:r>
              <w:rPr>
                <w:rFonts w:hint="eastAsia"/>
                <w:color w:val="000000" w:themeColor="text1"/>
                <w14:textFill>
                  <w14:solidFill>
                    <w14:schemeClr w14:val="tx1"/>
                  </w14:solidFill>
                </w14:textFill>
              </w:rPr>
              <w:t>，扣4分</w:t>
            </w:r>
          </w:p>
          <w:p w14:paraId="707B8CE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）操作人员</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按规定穿戴绝缘手套、绝缘靴</w:t>
            </w:r>
            <w:r>
              <w:rPr>
                <w:rFonts w:hint="eastAsia"/>
                <w:color w:val="000000" w:themeColor="text1"/>
                <w14:textFill>
                  <w14:solidFill>
                    <w14:schemeClr w14:val="tx1"/>
                  </w14:solidFill>
                </w14:textFill>
              </w:rPr>
              <w:t>，每一人次扣3分</w:t>
            </w:r>
          </w:p>
        </w:tc>
        <w:tc>
          <w:tcPr>
            <w:tcW w:w="720" w:type="dxa"/>
            <w:vAlign w:val="center"/>
          </w:tcPr>
          <w:p w14:paraId="5DF261B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7E378C25">
            <w:pPr>
              <w:pStyle w:val="42"/>
              <w:rPr>
                <w:color w:val="000000" w:themeColor="text1"/>
                <w14:textFill>
                  <w14:solidFill>
                    <w14:schemeClr w14:val="tx1"/>
                  </w14:solidFill>
                </w14:textFill>
              </w:rPr>
            </w:pPr>
          </w:p>
        </w:tc>
        <w:tc>
          <w:tcPr>
            <w:tcW w:w="720" w:type="dxa"/>
            <w:vAlign w:val="center"/>
          </w:tcPr>
          <w:p w14:paraId="2A4286FC">
            <w:pPr>
              <w:pStyle w:val="42"/>
              <w:rPr>
                <w:color w:val="000000" w:themeColor="text1"/>
                <w14:textFill>
                  <w14:solidFill>
                    <w14:schemeClr w14:val="tx1"/>
                  </w14:solidFill>
                </w14:textFill>
              </w:rPr>
            </w:pPr>
          </w:p>
        </w:tc>
      </w:tr>
      <w:tr w14:paraId="768E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AFC5ED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1140" w:type="dxa"/>
            <w:vAlign w:val="center"/>
          </w:tcPr>
          <w:p w14:paraId="22E348A4">
            <w:pPr>
              <w:pStyle w:val="42"/>
              <w:rPr>
                <w:color w:val="000000" w:themeColor="text1"/>
                <w14:textFill>
                  <w14:solidFill>
                    <w14:schemeClr w14:val="tx1"/>
                  </w14:solidFill>
                </w14:textFill>
              </w:rPr>
            </w:pPr>
            <w:r>
              <w:rPr>
                <w:color w:val="000000" w:themeColor="text1"/>
                <w14:textFill>
                  <w14:solidFill>
                    <w14:schemeClr w14:val="tx1"/>
                  </w14:solidFill>
                </w14:textFill>
              </w:rPr>
              <w:t>桩工机械</w:t>
            </w:r>
          </w:p>
        </w:tc>
        <w:tc>
          <w:tcPr>
            <w:tcW w:w="5338" w:type="dxa"/>
            <w:vAlign w:val="center"/>
          </w:tcPr>
          <w:p w14:paraId="2D64BAD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w:t>
            </w:r>
            <w:r>
              <w:rPr>
                <w:color w:val="000000" w:themeColor="text1"/>
                <w14:textFill>
                  <w14:solidFill>
                    <w14:schemeClr w14:val="tx1"/>
                  </w14:solidFill>
                </w14:textFill>
              </w:rPr>
              <w:t>按规定履行验收程序</w:t>
            </w:r>
            <w:r>
              <w:rPr>
                <w:rFonts w:hint="eastAsia"/>
                <w:color w:val="000000" w:themeColor="text1"/>
                <w14:textFill>
                  <w14:solidFill>
                    <w14:schemeClr w14:val="tx1"/>
                  </w14:solidFill>
                </w14:textFill>
              </w:rPr>
              <w:t>或未经责任人签字确认，扣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679F3B6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）未进行安全技术交底或无文字记录，扣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57BCDE4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未</w:t>
            </w:r>
            <w:r>
              <w:rPr>
                <w:color w:val="000000" w:themeColor="text1"/>
                <w14:textFill>
                  <w14:solidFill>
                    <w14:schemeClr w14:val="tx1"/>
                  </w14:solidFill>
                </w14:textFill>
              </w:rPr>
              <w:t>按规定安装安全装置</w:t>
            </w:r>
            <w:r>
              <w:rPr>
                <w:rFonts w:hint="eastAsia"/>
                <w:color w:val="000000" w:themeColor="text1"/>
                <w14:textFill>
                  <w14:solidFill>
                    <w14:schemeClr w14:val="tx1"/>
                  </w14:solidFill>
                </w14:textFill>
              </w:rPr>
              <w:t>或不</w:t>
            </w:r>
            <w:r>
              <w:rPr>
                <w:color w:val="000000" w:themeColor="text1"/>
                <w14:textFill>
                  <w14:solidFill>
                    <w14:schemeClr w14:val="tx1"/>
                  </w14:solidFill>
                </w14:textFill>
              </w:rPr>
              <w:t>灵敏</w:t>
            </w:r>
            <w:r>
              <w:rPr>
                <w:rFonts w:hint="eastAsia"/>
                <w:color w:val="000000" w:themeColor="text1"/>
                <w14:textFill>
                  <w14:solidFill>
                    <w14:schemeClr w14:val="tx1"/>
                  </w14:solidFill>
                </w14:textFill>
              </w:rPr>
              <w:t>，扣8分</w:t>
            </w:r>
          </w:p>
          <w:p w14:paraId="5727F9E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）作业区域地面承载力不符合机械说明书要求，扣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251512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）桩工机械与输电线路安全距离不符合标准要求，扣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6584AE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）打桩机未挂设标示牌，扣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分；标示牌内容不全面，扣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2124D688">
            <w:pPr>
              <w:pStyle w:val="42"/>
              <w:rPr>
                <w:color w:val="000000" w:themeColor="text1"/>
                <w14:textFill>
                  <w14:solidFill>
                    <w14:schemeClr w14:val="tx1"/>
                  </w14:solidFill>
                </w14:textFill>
              </w:rPr>
            </w:pPr>
            <w:r>
              <w:rPr>
                <w:color w:val="000000" w:themeColor="text1"/>
                <w14:textFill>
                  <w14:solidFill>
                    <w14:schemeClr w14:val="tx1"/>
                  </w14:solidFill>
                </w14:textFill>
              </w:rPr>
              <w:t>8</w:t>
            </w:r>
          </w:p>
        </w:tc>
        <w:tc>
          <w:tcPr>
            <w:tcW w:w="720" w:type="dxa"/>
            <w:vAlign w:val="center"/>
          </w:tcPr>
          <w:p w14:paraId="22271EAE">
            <w:pPr>
              <w:pStyle w:val="42"/>
              <w:rPr>
                <w:color w:val="000000" w:themeColor="text1"/>
                <w14:textFill>
                  <w14:solidFill>
                    <w14:schemeClr w14:val="tx1"/>
                  </w14:solidFill>
                </w14:textFill>
              </w:rPr>
            </w:pPr>
          </w:p>
        </w:tc>
        <w:tc>
          <w:tcPr>
            <w:tcW w:w="720" w:type="dxa"/>
            <w:vAlign w:val="center"/>
          </w:tcPr>
          <w:p w14:paraId="578F7826">
            <w:pPr>
              <w:pStyle w:val="42"/>
              <w:rPr>
                <w:color w:val="000000" w:themeColor="text1"/>
                <w14:textFill>
                  <w14:solidFill>
                    <w14:schemeClr w14:val="tx1"/>
                  </w14:solidFill>
                </w14:textFill>
              </w:rPr>
            </w:pPr>
          </w:p>
        </w:tc>
      </w:tr>
      <w:tr w14:paraId="09A6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B1E9DD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11</w:t>
            </w:r>
          </w:p>
        </w:tc>
        <w:tc>
          <w:tcPr>
            <w:tcW w:w="1140" w:type="dxa"/>
            <w:vAlign w:val="center"/>
          </w:tcPr>
          <w:p w14:paraId="690C8EA1">
            <w:pPr>
              <w:pStyle w:val="42"/>
              <w:rPr>
                <w:color w:val="000000" w:themeColor="text1"/>
                <w14:textFill>
                  <w14:solidFill>
                    <w14:schemeClr w14:val="tx1"/>
                  </w14:solidFill>
                </w14:textFill>
              </w:rPr>
            </w:pPr>
            <w:r>
              <w:rPr>
                <w:color w:val="000000" w:themeColor="text1"/>
                <w14:textFill>
                  <w14:solidFill>
                    <w14:schemeClr w14:val="tx1"/>
                  </w14:solidFill>
                </w14:textFill>
              </w:rPr>
              <w:t>运输车辆</w:t>
            </w:r>
          </w:p>
        </w:tc>
        <w:tc>
          <w:tcPr>
            <w:tcW w:w="5338" w:type="dxa"/>
            <w:vAlign w:val="center"/>
          </w:tcPr>
          <w:p w14:paraId="7CDBD0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）车辆转向、制动和灯光装置不灵敏，扣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03AE3F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2）运输车辆手续</w:t>
            </w:r>
            <w:r>
              <w:rPr>
                <w:rFonts w:hint="eastAsia"/>
                <w:color w:val="000000" w:themeColor="text1"/>
                <w14:textFill>
                  <w14:solidFill>
                    <w14:schemeClr w14:val="tx1"/>
                  </w14:solidFill>
                </w14:textFill>
              </w:rPr>
              <w:t>不</w:t>
            </w:r>
            <w:r>
              <w:rPr>
                <w:color w:val="000000" w:themeColor="text1"/>
                <w14:textFill>
                  <w14:solidFill>
                    <w14:schemeClr w14:val="tx1"/>
                  </w14:solidFill>
                </w14:textFill>
              </w:rPr>
              <w:t>齐全</w:t>
            </w:r>
            <w:r>
              <w:rPr>
                <w:rFonts w:hint="eastAsia"/>
                <w:color w:val="000000" w:themeColor="text1"/>
                <w14:textFill>
                  <w14:solidFill>
                    <w14:schemeClr w14:val="tx1"/>
                  </w14:solidFill>
                </w14:textFill>
              </w:rPr>
              <w:t>，扣5分</w:t>
            </w:r>
          </w:p>
          <w:p w14:paraId="2AF91DF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）司机未经专门培训、无操作证，扣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3AF04B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）行车时车斗内载人，扣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tc>
        <w:tc>
          <w:tcPr>
            <w:tcW w:w="720" w:type="dxa"/>
            <w:vAlign w:val="center"/>
          </w:tcPr>
          <w:p w14:paraId="2E910A48">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720" w:type="dxa"/>
            <w:vAlign w:val="center"/>
          </w:tcPr>
          <w:p w14:paraId="2E5B8329">
            <w:pPr>
              <w:pStyle w:val="42"/>
              <w:rPr>
                <w:color w:val="000000" w:themeColor="text1"/>
                <w14:textFill>
                  <w14:solidFill>
                    <w14:schemeClr w14:val="tx1"/>
                  </w14:solidFill>
                </w14:textFill>
              </w:rPr>
            </w:pPr>
          </w:p>
        </w:tc>
        <w:tc>
          <w:tcPr>
            <w:tcW w:w="720" w:type="dxa"/>
            <w:vAlign w:val="center"/>
          </w:tcPr>
          <w:p w14:paraId="4C99C55B">
            <w:pPr>
              <w:pStyle w:val="42"/>
              <w:rPr>
                <w:color w:val="000000" w:themeColor="text1"/>
                <w14:textFill>
                  <w14:solidFill>
                    <w14:schemeClr w14:val="tx1"/>
                  </w14:solidFill>
                </w14:textFill>
              </w:rPr>
            </w:pPr>
          </w:p>
        </w:tc>
      </w:tr>
      <w:tr w14:paraId="5EED1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FB0F15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12</w:t>
            </w:r>
          </w:p>
        </w:tc>
        <w:tc>
          <w:tcPr>
            <w:tcW w:w="1140" w:type="dxa"/>
            <w:vAlign w:val="center"/>
          </w:tcPr>
          <w:p w14:paraId="3546C73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空压机</w:t>
            </w:r>
          </w:p>
        </w:tc>
        <w:tc>
          <w:tcPr>
            <w:tcW w:w="5338" w:type="dxa"/>
            <w:vAlign w:val="center"/>
          </w:tcPr>
          <w:p w14:paraId="5739D68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）未按规定履行验收程序或未经责任人签字确认，扣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3808A2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）固定式空压机未设置独立站房，扣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53CC600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）设备基础不平整、坚固，扣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59A43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）电动空压机未作保护接零或未设置漏电保护装置，扣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6ED404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）空压机传动部位未设置防护罩，扣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32746B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）空压机未安装压力表、安全阀或不灵敏，扣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1D3D73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）储气罐有明显锈蚀和损伤，扣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E14472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）空压机周围无防护栏，扣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7A80A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042D71A4">
            <w:pPr>
              <w:pStyle w:val="42"/>
              <w:rPr>
                <w:color w:val="000000" w:themeColor="text1"/>
                <w14:textFill>
                  <w14:solidFill>
                    <w14:schemeClr w14:val="tx1"/>
                  </w14:solidFill>
                </w14:textFill>
              </w:rPr>
            </w:pPr>
          </w:p>
        </w:tc>
        <w:tc>
          <w:tcPr>
            <w:tcW w:w="720" w:type="dxa"/>
            <w:vAlign w:val="center"/>
          </w:tcPr>
          <w:p w14:paraId="21E2491A">
            <w:pPr>
              <w:pStyle w:val="42"/>
              <w:rPr>
                <w:color w:val="000000" w:themeColor="text1"/>
                <w14:textFill>
                  <w14:solidFill>
                    <w14:schemeClr w14:val="tx1"/>
                  </w14:solidFill>
                </w14:textFill>
              </w:rPr>
            </w:pPr>
          </w:p>
        </w:tc>
      </w:tr>
      <w:tr w14:paraId="6632F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B87EBB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13</w:t>
            </w:r>
          </w:p>
        </w:tc>
        <w:tc>
          <w:tcPr>
            <w:tcW w:w="1140" w:type="dxa"/>
            <w:vAlign w:val="center"/>
          </w:tcPr>
          <w:p w14:paraId="08BBE56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预应力张拉机具</w:t>
            </w:r>
          </w:p>
        </w:tc>
        <w:tc>
          <w:tcPr>
            <w:tcW w:w="5338" w:type="dxa"/>
            <w:vAlign w:val="center"/>
          </w:tcPr>
          <w:p w14:paraId="54E2483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）张拉机械设备未定期标定校验或无效验记录，扣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0AF864A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）压力表与千斤顶未按规定配套使用，扣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19A57C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）操作人员未进行培训，扣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E2F84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）张拉时顺梁方向梁端有人员停留，扣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0572DD4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）未使用砂轮机切割钢绞线，扣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6A47895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）预应力张拉时，未搭设站立操作人员和张拉设备的操作平台或平台不牢固，扣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43C071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）张拉钢筋两端的档板设置不符合规定，扣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19BDDE2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）预应力张拉区域无明显的安全标志，扣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分；非操作人员进入，每人次扣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625BC1E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720" w:type="dxa"/>
            <w:vAlign w:val="center"/>
          </w:tcPr>
          <w:p w14:paraId="71680864">
            <w:pPr>
              <w:pStyle w:val="42"/>
              <w:rPr>
                <w:color w:val="000000" w:themeColor="text1"/>
                <w14:textFill>
                  <w14:solidFill>
                    <w14:schemeClr w14:val="tx1"/>
                  </w14:solidFill>
                </w14:textFill>
              </w:rPr>
            </w:pPr>
          </w:p>
        </w:tc>
        <w:tc>
          <w:tcPr>
            <w:tcW w:w="720" w:type="dxa"/>
            <w:vAlign w:val="center"/>
          </w:tcPr>
          <w:p w14:paraId="7F9D89E5">
            <w:pPr>
              <w:pStyle w:val="42"/>
              <w:rPr>
                <w:color w:val="000000" w:themeColor="text1"/>
                <w14:textFill>
                  <w14:solidFill>
                    <w14:schemeClr w14:val="tx1"/>
                  </w14:solidFill>
                </w14:textFill>
              </w:rPr>
            </w:pPr>
          </w:p>
        </w:tc>
      </w:tr>
      <w:tr w14:paraId="6B9C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563D16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14</w:t>
            </w:r>
          </w:p>
        </w:tc>
        <w:tc>
          <w:tcPr>
            <w:tcW w:w="1140" w:type="dxa"/>
            <w:vAlign w:val="center"/>
          </w:tcPr>
          <w:p w14:paraId="5357641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小型起重机具</w:t>
            </w:r>
          </w:p>
        </w:tc>
        <w:tc>
          <w:tcPr>
            <w:tcW w:w="5338" w:type="dxa"/>
            <w:vAlign w:val="center"/>
          </w:tcPr>
          <w:p w14:paraId="5493A7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）未按规定履行验收程序或未经责任人签字确认，扣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05EB45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）电动葫芦未设缓冲器，扣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分；两台以上手拉葫芦同时起吊重物，扣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2FA19B4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）承载机具的基础或载体不牢靠，扣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429B01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）滑轮、吊钩、卷筒磨损变形达到报废标准，扣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7CF5329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）钢丝绳磨损、断丝、变形、锈蚀达到报废标准，扣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p w14:paraId="6DD4EE6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）滑轮、吊钩、卷筒未设置防脱装置，扣</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分</w:t>
            </w:r>
          </w:p>
        </w:tc>
        <w:tc>
          <w:tcPr>
            <w:tcW w:w="720" w:type="dxa"/>
            <w:vAlign w:val="center"/>
          </w:tcPr>
          <w:p w14:paraId="24663B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720" w:type="dxa"/>
            <w:vAlign w:val="center"/>
          </w:tcPr>
          <w:p w14:paraId="731E30BC">
            <w:pPr>
              <w:pStyle w:val="42"/>
              <w:rPr>
                <w:color w:val="000000" w:themeColor="text1"/>
                <w14:textFill>
                  <w14:solidFill>
                    <w14:schemeClr w14:val="tx1"/>
                  </w14:solidFill>
                </w14:textFill>
              </w:rPr>
            </w:pPr>
          </w:p>
        </w:tc>
        <w:tc>
          <w:tcPr>
            <w:tcW w:w="720" w:type="dxa"/>
            <w:vAlign w:val="center"/>
          </w:tcPr>
          <w:p w14:paraId="61050C88">
            <w:pPr>
              <w:pStyle w:val="42"/>
              <w:rPr>
                <w:color w:val="000000" w:themeColor="text1"/>
                <w14:textFill>
                  <w14:solidFill>
                    <w14:schemeClr w14:val="tx1"/>
                  </w14:solidFill>
                </w14:textFill>
              </w:rPr>
            </w:pPr>
          </w:p>
        </w:tc>
      </w:tr>
      <w:tr w14:paraId="2F0DF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017" w:type="dxa"/>
            <w:gridSpan w:val="3"/>
            <w:vAlign w:val="center"/>
          </w:tcPr>
          <w:p w14:paraId="49C8BA77">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6E925A2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61C5E098">
            <w:pPr>
              <w:pStyle w:val="42"/>
              <w:rPr>
                <w:color w:val="000000" w:themeColor="text1"/>
                <w14:textFill>
                  <w14:solidFill>
                    <w14:schemeClr w14:val="tx1"/>
                  </w14:solidFill>
                </w14:textFill>
              </w:rPr>
            </w:pPr>
          </w:p>
        </w:tc>
        <w:tc>
          <w:tcPr>
            <w:tcW w:w="720" w:type="dxa"/>
            <w:vAlign w:val="center"/>
          </w:tcPr>
          <w:p w14:paraId="08AB33BB">
            <w:pPr>
              <w:pStyle w:val="42"/>
              <w:rPr>
                <w:color w:val="000000" w:themeColor="text1"/>
                <w14:textFill>
                  <w14:solidFill>
                    <w14:schemeClr w14:val="tx1"/>
                  </w14:solidFill>
                </w14:textFill>
              </w:rPr>
            </w:pPr>
          </w:p>
        </w:tc>
      </w:tr>
    </w:tbl>
    <w:p w14:paraId="0479BDED">
      <w:pPr>
        <w:rPr>
          <w:color w:val="000000" w:themeColor="text1"/>
          <w14:textFill>
            <w14:solidFill>
              <w14:schemeClr w14:val="tx1"/>
            </w14:solidFill>
          </w14:textFill>
        </w:rPr>
      </w:pPr>
    </w:p>
    <w:p w14:paraId="6D5DFB38">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16" w:name="_Toc13664"/>
      <w:bookmarkStart w:id="17" w:name="_Toc26350"/>
      <w:bookmarkStart w:id="18" w:name="_Toc14220"/>
      <w:r>
        <w:rPr>
          <w:rFonts w:hint="eastAsia"/>
          <w:color w:val="000000" w:themeColor="text1"/>
          <w14:textFill>
            <w14:solidFill>
              <w14:schemeClr w14:val="tx1"/>
            </w14:solidFill>
          </w14:textFill>
        </w:rPr>
        <w:t>表</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 xml:space="preserve">  基坑检查</w:t>
      </w:r>
      <w:r>
        <w:rPr>
          <w:color w:val="000000" w:themeColor="text1"/>
          <w14:textFill>
            <w14:solidFill>
              <w14:schemeClr w14:val="tx1"/>
            </w14:solidFill>
          </w14:textFill>
        </w:rPr>
        <w:t>评分表</w:t>
      </w:r>
      <w:bookmarkEnd w:id="16"/>
      <w:bookmarkEnd w:id="17"/>
      <w:bookmarkEnd w:id="18"/>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39E8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07C7F48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50CEF09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39F41A4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5927681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5F2DE8B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1EA70CFA">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20425AA2">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6E2D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30B9738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17D2C6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74E01A7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0978B07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0CF8B6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0AB41AB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262E804D">
            <w:pPr>
              <w:pStyle w:val="42"/>
              <w:jc w:val="left"/>
              <w:rPr>
                <w:color w:val="000000" w:themeColor="text1"/>
                <w14:textFill>
                  <w14:solidFill>
                    <w14:schemeClr w14:val="tx1"/>
                  </w14:solidFill>
                </w14:textFill>
              </w:rPr>
            </w:pPr>
            <w:bookmarkStart w:id="19" w:name="OLE_LINK4"/>
            <w:bookmarkStart w:id="20" w:name="OLE_LINK3"/>
            <w:r>
              <w:rPr>
                <w:rFonts w:hint="eastAsia"/>
                <w:color w:val="000000" w:themeColor="text1"/>
                <w14:textFill>
                  <w14:solidFill>
                    <w14:schemeClr w14:val="tx1"/>
                  </w14:solidFill>
                </w14:textFill>
              </w:rPr>
              <w:t>1）未按规定编制专项施工方案，或支护结构未经设计计算，扣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383FCED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2）未按规定进行审核、审批，扣10分</w:t>
            </w:r>
          </w:p>
          <w:p w14:paraId="1F8B1D5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3）超过一定规模的基坑专项施工方案，未按规定组织专家论证，扣10分</w:t>
            </w:r>
          </w:p>
          <w:p w14:paraId="4B0D6B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bookmarkEnd w:id="19"/>
            <w:bookmarkEnd w:id="20"/>
          </w:p>
        </w:tc>
        <w:tc>
          <w:tcPr>
            <w:tcW w:w="720" w:type="dxa"/>
            <w:vAlign w:val="center"/>
          </w:tcPr>
          <w:p w14:paraId="29202EC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9A2AFF6">
            <w:pPr>
              <w:pStyle w:val="42"/>
              <w:rPr>
                <w:color w:val="000000" w:themeColor="text1"/>
                <w14:textFill>
                  <w14:solidFill>
                    <w14:schemeClr w14:val="tx1"/>
                  </w14:solidFill>
                </w14:textFill>
              </w:rPr>
            </w:pPr>
          </w:p>
        </w:tc>
        <w:tc>
          <w:tcPr>
            <w:tcW w:w="720" w:type="dxa"/>
            <w:vAlign w:val="center"/>
          </w:tcPr>
          <w:p w14:paraId="14F18FA9">
            <w:pPr>
              <w:pStyle w:val="42"/>
              <w:rPr>
                <w:color w:val="000000" w:themeColor="text1"/>
                <w14:textFill>
                  <w14:solidFill>
                    <w14:schemeClr w14:val="tx1"/>
                  </w14:solidFill>
                </w14:textFill>
              </w:rPr>
            </w:pPr>
          </w:p>
        </w:tc>
      </w:tr>
      <w:tr w14:paraId="5A8CD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49D095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265950FE">
            <w:pPr>
              <w:pStyle w:val="42"/>
              <w:rPr>
                <w:color w:val="000000" w:themeColor="text1"/>
                <w14:textFill>
                  <w14:solidFill>
                    <w14:schemeClr w14:val="tx1"/>
                  </w14:solidFill>
                </w14:textFill>
              </w:rPr>
            </w:pPr>
          </w:p>
        </w:tc>
        <w:tc>
          <w:tcPr>
            <w:tcW w:w="898" w:type="dxa"/>
            <w:vAlign w:val="center"/>
          </w:tcPr>
          <w:p w14:paraId="2106DA9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降排水</w:t>
            </w:r>
          </w:p>
        </w:tc>
        <w:tc>
          <w:tcPr>
            <w:tcW w:w="5580" w:type="dxa"/>
            <w:vAlign w:val="center"/>
          </w:tcPr>
          <w:p w14:paraId="43A5AF2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1）基坑开挖深度范围内有地下水时未采取有效的降排水措施，扣10分</w:t>
            </w:r>
          </w:p>
          <w:p w14:paraId="1E9C3B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）降水时未采取防止临近建（构）筑沉降的措施，扣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69A0C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3）基坑边未沿周边地面应设置截、排水沟，或未采取截水、封堵、防倒流等措施，扣3-5分</w:t>
            </w:r>
          </w:p>
          <w:p w14:paraId="5574C7B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4）放坡开挖时未对坡顶、坡面、坡脚采取降排水措施，扣5-10分</w:t>
            </w:r>
          </w:p>
          <w:p w14:paraId="08FA88B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5）基坑底周边未设置排水沟和集水井或排除积水不及时，扣5-8分</w:t>
            </w:r>
          </w:p>
          <w:p w14:paraId="3DCD8D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）围护结构漏水、漏砂或基坑底积水、涌水或涌砂，每处扣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0798CE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AC25D4D">
            <w:pPr>
              <w:pStyle w:val="42"/>
              <w:rPr>
                <w:color w:val="000000" w:themeColor="text1"/>
                <w14:textFill>
                  <w14:solidFill>
                    <w14:schemeClr w14:val="tx1"/>
                  </w14:solidFill>
                </w14:textFill>
              </w:rPr>
            </w:pPr>
          </w:p>
        </w:tc>
        <w:tc>
          <w:tcPr>
            <w:tcW w:w="720" w:type="dxa"/>
            <w:vAlign w:val="center"/>
          </w:tcPr>
          <w:p w14:paraId="01033148">
            <w:pPr>
              <w:pStyle w:val="42"/>
              <w:rPr>
                <w:color w:val="000000" w:themeColor="text1"/>
                <w14:textFill>
                  <w14:solidFill>
                    <w14:schemeClr w14:val="tx1"/>
                  </w14:solidFill>
                </w14:textFill>
              </w:rPr>
            </w:pPr>
          </w:p>
        </w:tc>
      </w:tr>
      <w:tr w14:paraId="22EE7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80BC9A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725C2CC5">
            <w:pPr>
              <w:pStyle w:val="42"/>
              <w:rPr>
                <w:color w:val="000000" w:themeColor="text1"/>
                <w14:textFill>
                  <w14:solidFill>
                    <w14:schemeClr w14:val="tx1"/>
                  </w14:solidFill>
                </w14:textFill>
              </w:rPr>
            </w:pPr>
          </w:p>
        </w:tc>
        <w:tc>
          <w:tcPr>
            <w:tcW w:w="898" w:type="dxa"/>
            <w:vAlign w:val="center"/>
          </w:tcPr>
          <w:p w14:paraId="5F84721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基坑支护</w:t>
            </w:r>
          </w:p>
        </w:tc>
        <w:tc>
          <w:tcPr>
            <w:tcW w:w="5580" w:type="dxa"/>
            <w:vAlign w:val="center"/>
          </w:tcPr>
          <w:p w14:paraId="7062B9E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1）自然边坡的坡率不符合设计和标准要求，扣15分</w:t>
            </w:r>
          </w:p>
          <w:p w14:paraId="288197D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2）不能采取放坡开挖的基坑工程，当开挖深度较大并存在边坡塌方危险时未采取支护措施，扣15分</w:t>
            </w:r>
          </w:p>
          <w:p w14:paraId="6DCA9DB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3）支护结构不符合设计要求，5-10分</w:t>
            </w:r>
          </w:p>
          <w:p w14:paraId="0B6B03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）支护结构施作不及时，扣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0C6B5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）钢支撑与围护结构的连接不符合设计和专项施工方案的要求，扣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82997B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）钢支撑预应力施加不符合设计和专项施工方案的要求，扣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BA0460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）钢支撑吊装就位时，吊车及钢支撑下方站人，或钢支撑未采取有效的防坠落措施，扣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CF9544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）喷射混凝土的喷嘴面对有人方向，扣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A5F2DD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 xml:space="preserve">9) </w:t>
            </w:r>
            <w:r>
              <w:rPr>
                <w:rFonts w:hint="eastAsia"/>
                <w:color w:val="000000" w:themeColor="text1"/>
                <w14:textFill>
                  <w14:solidFill>
                    <w14:schemeClr w14:val="tx1"/>
                  </w14:solidFill>
                </w14:textFill>
              </w:rPr>
              <w:t>锚杆（索）未按设计和标准要求进行基本试验和验收试验，扣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6A1B7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）支护结构的水平位移达到设计报警值时未采取有效控制措时，扣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DF5032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15</w:t>
            </w:r>
          </w:p>
        </w:tc>
        <w:tc>
          <w:tcPr>
            <w:tcW w:w="720" w:type="dxa"/>
            <w:vAlign w:val="center"/>
          </w:tcPr>
          <w:p w14:paraId="095C7A01">
            <w:pPr>
              <w:pStyle w:val="42"/>
              <w:rPr>
                <w:color w:val="000000" w:themeColor="text1"/>
                <w14:textFill>
                  <w14:solidFill>
                    <w14:schemeClr w14:val="tx1"/>
                  </w14:solidFill>
                </w14:textFill>
              </w:rPr>
            </w:pPr>
          </w:p>
        </w:tc>
        <w:tc>
          <w:tcPr>
            <w:tcW w:w="720" w:type="dxa"/>
            <w:vAlign w:val="center"/>
          </w:tcPr>
          <w:p w14:paraId="2FB8BAA4">
            <w:pPr>
              <w:pStyle w:val="42"/>
              <w:rPr>
                <w:color w:val="000000" w:themeColor="text1"/>
                <w14:textFill>
                  <w14:solidFill>
                    <w14:schemeClr w14:val="tx1"/>
                  </w14:solidFill>
                </w14:textFill>
              </w:rPr>
            </w:pPr>
          </w:p>
        </w:tc>
      </w:tr>
      <w:tr w14:paraId="0336D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E456D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09AF6ADF">
            <w:pPr>
              <w:pStyle w:val="42"/>
              <w:rPr>
                <w:color w:val="000000" w:themeColor="text1"/>
                <w14:textFill>
                  <w14:solidFill>
                    <w14:schemeClr w14:val="tx1"/>
                  </w14:solidFill>
                </w14:textFill>
              </w:rPr>
            </w:pPr>
          </w:p>
        </w:tc>
        <w:tc>
          <w:tcPr>
            <w:tcW w:w="898" w:type="dxa"/>
            <w:vAlign w:val="center"/>
          </w:tcPr>
          <w:p w14:paraId="560EF34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基坑开挖</w:t>
            </w:r>
          </w:p>
        </w:tc>
        <w:tc>
          <w:tcPr>
            <w:tcW w:w="5580" w:type="dxa"/>
            <w:vAlign w:val="center"/>
          </w:tcPr>
          <w:p w14:paraId="5D42CDA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1）支护结构未达到设计要求提前开挖下层土方，扣15分</w:t>
            </w:r>
          </w:p>
          <w:p w14:paraId="5F28087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2）未按设计和专项施工方案的要求分层、分段、限时、限高开挖或开挖不均衡、对称，扣15分</w:t>
            </w:r>
          </w:p>
          <w:p w14:paraId="208E56C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3）基坑开挖过程中未采取防止碰撞支护结构或工程桩的有效措施，扣10分</w:t>
            </w:r>
          </w:p>
          <w:p w14:paraId="3115D92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）挖土机械、运输车辆进入基坑的坡道的坡度大于</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或宽度不满足行车要求，扣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00AF1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）机械操作人员未取得作业资格证书，扣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19FFF99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6）机械在软土场地作业，未采取铺设渣土、砂石等硬化措施，扣10分</w:t>
            </w:r>
          </w:p>
          <w:p w14:paraId="5EDDE5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）挖土机械在水平支撑上方进行挖土作业，或挖土机械在支撑上部行走时未按标准要求采取铺垫措施，扣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49C9ED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）未根据基坑及周边环境的监测数据及时调整开挖的施工顺序和施工方法，扣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0430FFF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15</w:t>
            </w:r>
          </w:p>
        </w:tc>
        <w:tc>
          <w:tcPr>
            <w:tcW w:w="720" w:type="dxa"/>
            <w:vAlign w:val="center"/>
          </w:tcPr>
          <w:p w14:paraId="13D1761F">
            <w:pPr>
              <w:pStyle w:val="42"/>
              <w:rPr>
                <w:color w:val="000000" w:themeColor="text1"/>
                <w14:textFill>
                  <w14:solidFill>
                    <w14:schemeClr w14:val="tx1"/>
                  </w14:solidFill>
                </w14:textFill>
              </w:rPr>
            </w:pPr>
          </w:p>
        </w:tc>
        <w:tc>
          <w:tcPr>
            <w:tcW w:w="720" w:type="dxa"/>
            <w:vAlign w:val="center"/>
          </w:tcPr>
          <w:p w14:paraId="78A22508">
            <w:pPr>
              <w:pStyle w:val="42"/>
              <w:rPr>
                <w:color w:val="000000" w:themeColor="text1"/>
                <w14:textFill>
                  <w14:solidFill>
                    <w14:schemeClr w14:val="tx1"/>
                  </w14:solidFill>
                </w14:textFill>
              </w:rPr>
            </w:pPr>
          </w:p>
        </w:tc>
      </w:tr>
      <w:tr w14:paraId="1E45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0982810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5C17CCF6">
            <w:pPr>
              <w:pStyle w:val="42"/>
              <w:rPr>
                <w:color w:val="000000" w:themeColor="text1"/>
                <w14:textFill>
                  <w14:solidFill>
                    <w14:schemeClr w14:val="tx1"/>
                  </w14:solidFill>
                </w14:textFill>
              </w:rPr>
            </w:pPr>
          </w:p>
        </w:tc>
        <w:tc>
          <w:tcPr>
            <w:tcW w:w="898" w:type="dxa"/>
            <w:vAlign w:val="center"/>
          </w:tcPr>
          <w:p w14:paraId="26359BC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施工荷载</w:t>
            </w:r>
          </w:p>
        </w:tc>
        <w:tc>
          <w:tcPr>
            <w:tcW w:w="5580" w:type="dxa"/>
            <w:vAlign w:val="center"/>
          </w:tcPr>
          <w:p w14:paraId="5CC6D42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1）弃土、料具堆放距坑（槽）边距离小于设计规定或小于1m，扣5～8分</w:t>
            </w:r>
          </w:p>
          <w:p w14:paraId="1F802FF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2）基坑周边堆载超过基坑支护设计允许要求，扣10分</w:t>
            </w:r>
          </w:p>
          <w:p w14:paraId="2416482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）机械设备施工与坑边距离不符合设计要求且未采取加固措施，扣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F58B5C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）当利用支撑兼作施工作业平台或栈桥时，上部机械设备的荷载超过设计允许范围，扣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29684B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DFEEEE6">
            <w:pPr>
              <w:pStyle w:val="42"/>
              <w:rPr>
                <w:color w:val="000000" w:themeColor="text1"/>
                <w14:textFill>
                  <w14:solidFill>
                    <w14:schemeClr w14:val="tx1"/>
                  </w14:solidFill>
                </w14:textFill>
              </w:rPr>
            </w:pPr>
          </w:p>
        </w:tc>
        <w:tc>
          <w:tcPr>
            <w:tcW w:w="720" w:type="dxa"/>
            <w:vAlign w:val="center"/>
          </w:tcPr>
          <w:p w14:paraId="58FAAF6D">
            <w:pPr>
              <w:pStyle w:val="42"/>
              <w:rPr>
                <w:color w:val="000000" w:themeColor="text1"/>
                <w14:textFill>
                  <w14:solidFill>
                    <w14:schemeClr w14:val="tx1"/>
                  </w14:solidFill>
                </w14:textFill>
              </w:rPr>
            </w:pPr>
          </w:p>
        </w:tc>
      </w:tr>
      <w:tr w14:paraId="30C2E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6F5D3A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3875D020">
            <w:pPr>
              <w:pStyle w:val="42"/>
              <w:rPr>
                <w:color w:val="000000" w:themeColor="text1"/>
                <w14:textFill>
                  <w14:solidFill>
                    <w14:schemeClr w14:val="tx1"/>
                  </w14:solidFill>
                </w14:textFill>
              </w:rPr>
            </w:pPr>
          </w:p>
        </w:tc>
        <w:tc>
          <w:tcPr>
            <w:tcW w:w="898" w:type="dxa"/>
            <w:vAlign w:val="center"/>
          </w:tcPr>
          <w:p w14:paraId="47FF22F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监测监控</w:t>
            </w:r>
          </w:p>
        </w:tc>
        <w:tc>
          <w:tcPr>
            <w:tcW w:w="5580" w:type="dxa"/>
            <w:vAlign w:val="center"/>
          </w:tcPr>
          <w:p w14:paraId="6C393EF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1）未编制监测方案或未按要求进行施工监测，扣10分</w:t>
            </w:r>
          </w:p>
          <w:p w14:paraId="3AFE30B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2）基坑监测项目不符合设计和标准要求，扣5-10分</w:t>
            </w:r>
          </w:p>
          <w:p w14:paraId="6C462E0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3）监测的时间间隔不符合监测方案要求或监测结果变化速率较大未加密观测次数，扣5-8分</w:t>
            </w:r>
          </w:p>
          <w:p w14:paraId="796E1DE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4）未按设计要求提交监测报告或监测报告内容不完整，扣5-8分</w:t>
            </w:r>
          </w:p>
          <w:p w14:paraId="3C245E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）当监测值达到所规定的报警值时未停止施工，查明原因，采取补救措施，扣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67768BC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523EFE70">
            <w:pPr>
              <w:pStyle w:val="42"/>
              <w:rPr>
                <w:color w:val="000000" w:themeColor="text1"/>
                <w14:textFill>
                  <w14:solidFill>
                    <w14:schemeClr w14:val="tx1"/>
                  </w14:solidFill>
                </w14:textFill>
              </w:rPr>
            </w:pPr>
          </w:p>
        </w:tc>
        <w:tc>
          <w:tcPr>
            <w:tcW w:w="720" w:type="dxa"/>
            <w:vAlign w:val="center"/>
          </w:tcPr>
          <w:p w14:paraId="22309CD8">
            <w:pPr>
              <w:pStyle w:val="42"/>
              <w:rPr>
                <w:color w:val="000000" w:themeColor="text1"/>
                <w14:textFill>
                  <w14:solidFill>
                    <w14:schemeClr w14:val="tx1"/>
                  </w14:solidFill>
                </w14:textFill>
              </w:rPr>
            </w:pPr>
          </w:p>
        </w:tc>
      </w:tr>
      <w:tr w14:paraId="7FCB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74E37E2">
            <w:pPr>
              <w:pStyle w:val="42"/>
              <w:rPr>
                <w:color w:val="000000" w:themeColor="text1"/>
                <w14:textFill>
                  <w14:solidFill>
                    <w14:schemeClr w14:val="tx1"/>
                  </w14:solidFill>
                </w14:textFill>
              </w:rPr>
            </w:pPr>
          </w:p>
        </w:tc>
        <w:tc>
          <w:tcPr>
            <w:tcW w:w="543" w:type="dxa"/>
            <w:vMerge w:val="continue"/>
          </w:tcPr>
          <w:p w14:paraId="29B6F014">
            <w:pPr>
              <w:pStyle w:val="42"/>
              <w:rPr>
                <w:color w:val="000000" w:themeColor="text1"/>
                <w14:textFill>
                  <w14:solidFill>
                    <w14:schemeClr w14:val="tx1"/>
                  </w14:solidFill>
                </w14:textFill>
              </w:rPr>
            </w:pPr>
          </w:p>
        </w:tc>
        <w:tc>
          <w:tcPr>
            <w:tcW w:w="6478" w:type="dxa"/>
            <w:gridSpan w:val="2"/>
            <w:vAlign w:val="center"/>
          </w:tcPr>
          <w:p w14:paraId="442FD508">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7799389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629D7ED9">
            <w:pPr>
              <w:pStyle w:val="42"/>
              <w:rPr>
                <w:color w:val="000000" w:themeColor="text1"/>
                <w14:textFill>
                  <w14:solidFill>
                    <w14:schemeClr w14:val="tx1"/>
                  </w14:solidFill>
                </w14:textFill>
              </w:rPr>
            </w:pPr>
          </w:p>
        </w:tc>
        <w:tc>
          <w:tcPr>
            <w:tcW w:w="720" w:type="dxa"/>
            <w:vAlign w:val="center"/>
          </w:tcPr>
          <w:p w14:paraId="3D418711">
            <w:pPr>
              <w:pStyle w:val="42"/>
              <w:rPr>
                <w:color w:val="000000" w:themeColor="text1"/>
                <w14:textFill>
                  <w14:solidFill>
                    <w14:schemeClr w14:val="tx1"/>
                  </w14:solidFill>
                </w14:textFill>
              </w:rPr>
            </w:pPr>
          </w:p>
        </w:tc>
      </w:tr>
      <w:tr w14:paraId="36B7E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29B63A6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5F99309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157BF59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351808D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B7992B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ACAB2D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7C5E489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1）开挖深度2m及以上的基坑周边未按标准要求设置防护栏杆或栏杆设置不符合标准要求，扣5-10分</w:t>
            </w:r>
          </w:p>
          <w:p w14:paraId="5585133C">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2）基坑内未设置供人员上下的专用通道或通道设置不符合标准要求，扣5-10分</w:t>
            </w:r>
          </w:p>
          <w:p w14:paraId="3E6AE11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3）降水井口未设置防护盖板或围栏，扣10分</w:t>
            </w:r>
          </w:p>
        </w:tc>
        <w:tc>
          <w:tcPr>
            <w:tcW w:w="720" w:type="dxa"/>
            <w:vAlign w:val="center"/>
          </w:tcPr>
          <w:p w14:paraId="0560276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3BA682D">
            <w:pPr>
              <w:pStyle w:val="42"/>
              <w:rPr>
                <w:color w:val="000000" w:themeColor="text1"/>
                <w14:textFill>
                  <w14:solidFill>
                    <w14:schemeClr w14:val="tx1"/>
                  </w14:solidFill>
                </w14:textFill>
              </w:rPr>
            </w:pPr>
          </w:p>
        </w:tc>
        <w:tc>
          <w:tcPr>
            <w:tcW w:w="720" w:type="dxa"/>
            <w:vAlign w:val="center"/>
          </w:tcPr>
          <w:p w14:paraId="29235B7B">
            <w:pPr>
              <w:pStyle w:val="42"/>
              <w:rPr>
                <w:color w:val="000000" w:themeColor="text1"/>
                <w14:textFill>
                  <w14:solidFill>
                    <w14:schemeClr w14:val="tx1"/>
                  </w14:solidFill>
                </w14:textFill>
              </w:rPr>
            </w:pPr>
          </w:p>
        </w:tc>
      </w:tr>
      <w:tr w14:paraId="769BC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DAA820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0A8119CB">
            <w:pPr>
              <w:pStyle w:val="42"/>
              <w:rPr>
                <w:color w:val="000000" w:themeColor="text1"/>
                <w14:textFill>
                  <w14:solidFill>
                    <w14:schemeClr w14:val="tx1"/>
                  </w14:solidFill>
                </w14:textFill>
              </w:rPr>
            </w:pPr>
          </w:p>
        </w:tc>
        <w:tc>
          <w:tcPr>
            <w:tcW w:w="898" w:type="dxa"/>
            <w:vAlign w:val="center"/>
          </w:tcPr>
          <w:p w14:paraId="5E61E55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支护拆除</w:t>
            </w:r>
          </w:p>
        </w:tc>
        <w:tc>
          <w:tcPr>
            <w:tcW w:w="5580" w:type="dxa"/>
            <w:vAlign w:val="center"/>
          </w:tcPr>
          <w:p w14:paraId="60450D1A">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1）未达到设计规定的拆除条件进行锚杆或支撑拆除，扣10分</w:t>
            </w:r>
          </w:p>
          <w:p w14:paraId="1B30DA5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2）支护结构拆除或换撑条件、顺序、方式不符合设计和方案要求，扣5-10分</w:t>
            </w:r>
          </w:p>
          <w:p w14:paraId="4B0A75A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3）机械拆除作业时施工荷载大于支撑结构承载力，扣10分</w:t>
            </w:r>
          </w:p>
          <w:p w14:paraId="16CB080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4）人工拆除作业时未按规定设置防护设施，扣8分</w:t>
            </w:r>
          </w:p>
          <w:p w14:paraId="2DA0398A">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5）采用非常规拆除方式不符合国家现行相关标准要求，扣10分</w:t>
            </w:r>
          </w:p>
        </w:tc>
        <w:tc>
          <w:tcPr>
            <w:tcW w:w="720" w:type="dxa"/>
            <w:vAlign w:val="center"/>
          </w:tcPr>
          <w:p w14:paraId="1AABB1B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62DC589D">
            <w:pPr>
              <w:pStyle w:val="42"/>
              <w:rPr>
                <w:color w:val="000000" w:themeColor="text1"/>
                <w14:textFill>
                  <w14:solidFill>
                    <w14:schemeClr w14:val="tx1"/>
                  </w14:solidFill>
                </w14:textFill>
              </w:rPr>
            </w:pPr>
          </w:p>
        </w:tc>
        <w:tc>
          <w:tcPr>
            <w:tcW w:w="720" w:type="dxa"/>
            <w:vAlign w:val="center"/>
          </w:tcPr>
          <w:p w14:paraId="351655E8">
            <w:pPr>
              <w:pStyle w:val="42"/>
              <w:rPr>
                <w:color w:val="000000" w:themeColor="text1"/>
                <w14:textFill>
                  <w14:solidFill>
                    <w14:schemeClr w14:val="tx1"/>
                  </w14:solidFill>
                </w14:textFill>
              </w:rPr>
            </w:pPr>
          </w:p>
        </w:tc>
      </w:tr>
      <w:tr w14:paraId="110C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23F07B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4999275E">
            <w:pPr>
              <w:pStyle w:val="42"/>
              <w:rPr>
                <w:color w:val="000000" w:themeColor="text1"/>
                <w14:textFill>
                  <w14:solidFill>
                    <w14:schemeClr w14:val="tx1"/>
                  </w14:solidFill>
                </w14:textFill>
              </w:rPr>
            </w:pPr>
          </w:p>
        </w:tc>
        <w:tc>
          <w:tcPr>
            <w:tcW w:w="898" w:type="dxa"/>
            <w:vAlign w:val="center"/>
          </w:tcPr>
          <w:p w14:paraId="10F7B03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作业环境</w:t>
            </w:r>
          </w:p>
        </w:tc>
        <w:tc>
          <w:tcPr>
            <w:tcW w:w="5580" w:type="dxa"/>
            <w:vAlign w:val="center"/>
          </w:tcPr>
          <w:p w14:paraId="1E06164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1）基坑内土方机械、施工人员的安全距离不符合标准要求，扣10分</w:t>
            </w:r>
          </w:p>
          <w:p w14:paraId="7852BC4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2）上下垂直作业未采取防护措施，扣5分</w:t>
            </w:r>
          </w:p>
          <w:p w14:paraId="4B79BC1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3）在各种管线范围内挖土作业未采取安全保护措施或未设专人监护，扣5分</w:t>
            </w:r>
          </w:p>
          <w:p w14:paraId="249E824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4）作业区光线不良，扣5分</w:t>
            </w:r>
          </w:p>
        </w:tc>
        <w:tc>
          <w:tcPr>
            <w:tcW w:w="720" w:type="dxa"/>
            <w:vAlign w:val="center"/>
          </w:tcPr>
          <w:p w14:paraId="74F007D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C032E89">
            <w:pPr>
              <w:pStyle w:val="42"/>
              <w:rPr>
                <w:color w:val="000000" w:themeColor="text1"/>
                <w14:textFill>
                  <w14:solidFill>
                    <w14:schemeClr w14:val="tx1"/>
                  </w14:solidFill>
                </w14:textFill>
              </w:rPr>
            </w:pPr>
          </w:p>
        </w:tc>
        <w:tc>
          <w:tcPr>
            <w:tcW w:w="720" w:type="dxa"/>
            <w:vAlign w:val="center"/>
          </w:tcPr>
          <w:p w14:paraId="33502DF6">
            <w:pPr>
              <w:pStyle w:val="42"/>
              <w:rPr>
                <w:color w:val="000000" w:themeColor="text1"/>
                <w14:textFill>
                  <w14:solidFill>
                    <w14:schemeClr w14:val="tx1"/>
                  </w14:solidFill>
                </w14:textFill>
              </w:rPr>
            </w:pPr>
          </w:p>
        </w:tc>
      </w:tr>
      <w:tr w14:paraId="603E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049F891">
            <w:pPr>
              <w:pStyle w:val="42"/>
              <w:rPr>
                <w:color w:val="000000" w:themeColor="text1"/>
                <w14:textFill>
                  <w14:solidFill>
                    <w14:schemeClr w14:val="tx1"/>
                  </w14:solidFill>
                </w14:textFill>
              </w:rPr>
            </w:pPr>
          </w:p>
        </w:tc>
        <w:tc>
          <w:tcPr>
            <w:tcW w:w="543" w:type="dxa"/>
            <w:vMerge w:val="continue"/>
          </w:tcPr>
          <w:p w14:paraId="4C2BC655">
            <w:pPr>
              <w:pStyle w:val="42"/>
              <w:rPr>
                <w:color w:val="000000" w:themeColor="text1"/>
                <w14:textFill>
                  <w14:solidFill>
                    <w14:schemeClr w14:val="tx1"/>
                  </w14:solidFill>
                </w14:textFill>
              </w:rPr>
            </w:pPr>
          </w:p>
        </w:tc>
        <w:tc>
          <w:tcPr>
            <w:tcW w:w="6478" w:type="dxa"/>
            <w:gridSpan w:val="2"/>
            <w:vAlign w:val="center"/>
          </w:tcPr>
          <w:p w14:paraId="4CEA0F5B">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0E20C9F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293BA6AA">
            <w:pPr>
              <w:pStyle w:val="42"/>
              <w:rPr>
                <w:color w:val="000000" w:themeColor="text1"/>
                <w14:textFill>
                  <w14:solidFill>
                    <w14:schemeClr w14:val="tx1"/>
                  </w14:solidFill>
                </w14:textFill>
              </w:rPr>
            </w:pPr>
          </w:p>
        </w:tc>
        <w:tc>
          <w:tcPr>
            <w:tcW w:w="720" w:type="dxa"/>
            <w:vAlign w:val="center"/>
          </w:tcPr>
          <w:p w14:paraId="38562768">
            <w:pPr>
              <w:pStyle w:val="42"/>
              <w:rPr>
                <w:color w:val="000000" w:themeColor="text1"/>
                <w14:textFill>
                  <w14:solidFill>
                    <w14:schemeClr w14:val="tx1"/>
                  </w14:solidFill>
                </w14:textFill>
              </w:rPr>
            </w:pPr>
          </w:p>
        </w:tc>
      </w:tr>
      <w:tr w14:paraId="5CD86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1D10731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633C6AB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33F61463">
            <w:pPr>
              <w:pStyle w:val="42"/>
              <w:rPr>
                <w:color w:val="000000" w:themeColor="text1"/>
                <w14:textFill>
                  <w14:solidFill>
                    <w14:schemeClr w14:val="tx1"/>
                  </w14:solidFill>
                </w14:textFill>
              </w:rPr>
            </w:pPr>
          </w:p>
        </w:tc>
        <w:tc>
          <w:tcPr>
            <w:tcW w:w="720" w:type="dxa"/>
            <w:vAlign w:val="center"/>
          </w:tcPr>
          <w:p w14:paraId="5BECA12D">
            <w:pPr>
              <w:pStyle w:val="42"/>
              <w:rPr>
                <w:color w:val="000000" w:themeColor="text1"/>
                <w14:textFill>
                  <w14:solidFill>
                    <w14:schemeClr w14:val="tx1"/>
                  </w14:solidFill>
                </w14:textFill>
              </w:rPr>
            </w:pPr>
          </w:p>
        </w:tc>
      </w:tr>
    </w:tbl>
    <w:p w14:paraId="2ED366A3">
      <w:pPr>
        <w:rPr>
          <w:color w:val="000000" w:themeColor="text1"/>
          <w14:textFill>
            <w14:solidFill>
              <w14:schemeClr w14:val="tx1"/>
            </w14:solidFill>
          </w14:textFill>
        </w:rPr>
      </w:pPr>
    </w:p>
    <w:p w14:paraId="0F5ECE73">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21" w:name="_Toc24836"/>
      <w:bookmarkStart w:id="22" w:name="_Toc31126"/>
      <w:bookmarkStart w:id="23" w:name="_Toc4678"/>
      <w:r>
        <w:rPr>
          <w:rFonts w:hint="eastAsia"/>
          <w:color w:val="000000" w:themeColor="text1"/>
          <w14:textFill>
            <w14:solidFill>
              <w14:schemeClr w14:val="tx1"/>
            </w14:solidFill>
          </w14:textFill>
        </w:rPr>
        <w:t>表</w:t>
      </w:r>
      <w:r>
        <w:rPr>
          <w:color w:val="000000" w:themeColor="text1"/>
          <w14:textFill>
            <w14:solidFill>
              <w14:schemeClr w14:val="tx1"/>
            </w14:solidFill>
          </w14:textFill>
        </w:rPr>
        <w:t xml:space="preserve">7  </w:t>
      </w:r>
      <w:r>
        <w:rPr>
          <w:rFonts w:hint="eastAsia"/>
          <w:color w:val="000000" w:themeColor="text1"/>
          <w14:textFill>
            <w14:solidFill>
              <w14:schemeClr w14:val="tx1"/>
            </w14:solidFill>
          </w14:textFill>
        </w:rPr>
        <w:t>钢围堰检查评分表</w:t>
      </w:r>
      <w:bookmarkEnd w:id="21"/>
      <w:bookmarkEnd w:id="22"/>
      <w:bookmarkEnd w:id="23"/>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F66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34450CF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5F0AC0B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5A43F63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7B86A1A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5BDB6B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2669EA60">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41C70400">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3ECBC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6BA37BE7">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5013C64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6BA599F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1D2F32C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6B7FE5F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7BC0A0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7940223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9F774F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）未编制设计文件，扣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D016B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）未对围堰结构、构件和附属装置进行设计计算，扣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59671D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）设计文件中图纸或计算书不齐全，扣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790D2B0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05C63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10073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7E091D3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7F4B466">
            <w:pPr>
              <w:pStyle w:val="42"/>
              <w:rPr>
                <w:color w:val="000000" w:themeColor="text1"/>
                <w14:textFill>
                  <w14:solidFill>
                    <w14:schemeClr w14:val="tx1"/>
                  </w14:solidFill>
                </w14:textFill>
              </w:rPr>
            </w:pPr>
          </w:p>
        </w:tc>
        <w:tc>
          <w:tcPr>
            <w:tcW w:w="720" w:type="dxa"/>
            <w:vAlign w:val="center"/>
          </w:tcPr>
          <w:p w14:paraId="52F8A0D2">
            <w:pPr>
              <w:pStyle w:val="42"/>
              <w:rPr>
                <w:color w:val="000000" w:themeColor="text1"/>
                <w14:textFill>
                  <w14:solidFill>
                    <w14:schemeClr w14:val="tx1"/>
                  </w14:solidFill>
                </w14:textFill>
              </w:rPr>
            </w:pPr>
          </w:p>
        </w:tc>
      </w:tr>
      <w:tr w14:paraId="748EC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7B74A109">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66BFBF62">
            <w:pPr>
              <w:pStyle w:val="42"/>
              <w:rPr>
                <w:color w:val="000000" w:themeColor="text1"/>
                <w14:textFill>
                  <w14:solidFill>
                    <w14:schemeClr w14:val="tx1"/>
                  </w14:solidFill>
                </w14:textFill>
              </w:rPr>
            </w:pPr>
          </w:p>
        </w:tc>
        <w:tc>
          <w:tcPr>
            <w:tcW w:w="898" w:type="dxa"/>
            <w:vAlign w:val="center"/>
          </w:tcPr>
          <w:p w14:paraId="375675D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构配件材质</w:t>
            </w:r>
          </w:p>
        </w:tc>
        <w:tc>
          <w:tcPr>
            <w:tcW w:w="5580" w:type="dxa"/>
            <w:vAlign w:val="center"/>
          </w:tcPr>
          <w:p w14:paraId="25239E7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）原材料和构配件无质量合格证、产品性能检验报告，扣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89FE3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）原材料和构配件的品种、规格、型号、材质不符合专项施工方案和标准要求，扣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BD6F1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）钢板桩等定型产品无使用说明书等技术文件，扣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1FD48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）主体结构构件、连接件有显著的变形、超标的挠度或严重锈蚀剥皮，扣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EA78FF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D3520E6">
            <w:pPr>
              <w:pStyle w:val="42"/>
              <w:rPr>
                <w:color w:val="000000" w:themeColor="text1"/>
                <w14:textFill>
                  <w14:solidFill>
                    <w14:schemeClr w14:val="tx1"/>
                  </w14:solidFill>
                </w14:textFill>
              </w:rPr>
            </w:pPr>
          </w:p>
        </w:tc>
        <w:tc>
          <w:tcPr>
            <w:tcW w:w="720" w:type="dxa"/>
            <w:vAlign w:val="center"/>
          </w:tcPr>
          <w:p w14:paraId="5F04918D">
            <w:pPr>
              <w:pStyle w:val="42"/>
              <w:rPr>
                <w:color w:val="000000" w:themeColor="text1"/>
                <w14:textFill>
                  <w14:solidFill>
                    <w14:schemeClr w14:val="tx1"/>
                  </w14:solidFill>
                </w14:textFill>
              </w:rPr>
            </w:pPr>
          </w:p>
        </w:tc>
      </w:tr>
      <w:tr w14:paraId="1FE7C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097B040">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37C3108C">
            <w:pPr>
              <w:pStyle w:val="42"/>
              <w:rPr>
                <w:color w:val="000000" w:themeColor="text1"/>
                <w14:textFill>
                  <w14:solidFill>
                    <w14:schemeClr w14:val="tx1"/>
                  </w14:solidFill>
                </w14:textFill>
              </w:rPr>
            </w:pPr>
          </w:p>
        </w:tc>
        <w:tc>
          <w:tcPr>
            <w:tcW w:w="898" w:type="dxa"/>
            <w:vAlign w:val="center"/>
          </w:tcPr>
          <w:p w14:paraId="3DF8AF7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围堰构造</w:t>
            </w:r>
          </w:p>
        </w:tc>
        <w:tc>
          <w:tcPr>
            <w:tcW w:w="5580" w:type="dxa"/>
            <w:vAlign w:val="center"/>
          </w:tcPr>
          <w:p w14:paraId="42D195B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）侧壁结构尺寸不符合专项施工方案要求，扣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96989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）嵌固深度或封底混凝土厚度应符合专项施工方案的要求，扣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2FA9F1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）钢吊箱、钢套箱围堰的内支撑间距、层数、设置方式不符合专项施工方案的要求，扣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E44C27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）钢管桩、钢板桩围堰未设置围檩和内支撑，扣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分；围檩和内支撑的设置不符合专项施工方案要求，扣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62E0BA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）钢吊箱围堰的底板结构或吊挂系统的设置不符合专项施工方案的要求，扣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977AEE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7796DFD">
            <w:pPr>
              <w:pStyle w:val="42"/>
              <w:rPr>
                <w:color w:val="000000" w:themeColor="text1"/>
                <w14:textFill>
                  <w14:solidFill>
                    <w14:schemeClr w14:val="tx1"/>
                  </w14:solidFill>
                </w14:textFill>
              </w:rPr>
            </w:pPr>
          </w:p>
        </w:tc>
        <w:tc>
          <w:tcPr>
            <w:tcW w:w="720" w:type="dxa"/>
            <w:vAlign w:val="center"/>
          </w:tcPr>
          <w:p w14:paraId="14ACF704">
            <w:pPr>
              <w:pStyle w:val="42"/>
              <w:rPr>
                <w:color w:val="000000" w:themeColor="text1"/>
                <w14:textFill>
                  <w14:solidFill>
                    <w14:schemeClr w14:val="tx1"/>
                  </w14:solidFill>
                </w14:textFill>
              </w:rPr>
            </w:pPr>
          </w:p>
        </w:tc>
      </w:tr>
      <w:tr w14:paraId="7F5C3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ECDA68A">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1B78E95E">
            <w:pPr>
              <w:pStyle w:val="42"/>
              <w:rPr>
                <w:color w:val="000000" w:themeColor="text1"/>
                <w14:textFill>
                  <w14:solidFill>
                    <w14:schemeClr w14:val="tx1"/>
                  </w14:solidFill>
                </w14:textFill>
              </w:rPr>
            </w:pPr>
          </w:p>
        </w:tc>
        <w:tc>
          <w:tcPr>
            <w:tcW w:w="898" w:type="dxa"/>
            <w:vAlign w:val="center"/>
          </w:tcPr>
          <w:p w14:paraId="44F72FF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制作及运输</w:t>
            </w:r>
          </w:p>
        </w:tc>
        <w:tc>
          <w:tcPr>
            <w:tcW w:w="5580" w:type="dxa"/>
            <w:vAlign w:val="center"/>
          </w:tcPr>
          <w:p w14:paraId="2C7FCBC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）钢围堰拼装未搭设牢固可靠的作业脚手架，扣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74FBF6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）航道上浮运钢围堰前未办理通航备案手续，扣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9BE81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）采用气囊法坡道滑移入水的钢围堰，其组拼用的钢支墩的高度大于气囊直径的</w:t>
            </w:r>
            <w:r>
              <w:rPr>
                <w:color w:val="000000" w:themeColor="text1"/>
                <w14:textFill>
                  <w14:solidFill>
                    <w14:schemeClr w14:val="tx1"/>
                  </w14:solidFill>
                </w14:textFill>
              </w:rPr>
              <w:t>0.6</w:t>
            </w:r>
            <w:r>
              <w:rPr>
                <w:rFonts w:hint="eastAsia"/>
                <w:color w:val="000000" w:themeColor="text1"/>
                <w14:textFill>
                  <w14:solidFill>
                    <w14:schemeClr w14:val="tx1"/>
                  </w14:solidFill>
                </w14:textFill>
              </w:rPr>
              <w:t>倍，扣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分；气囊的工作高度小于</w:t>
            </w:r>
            <w:r>
              <w:rPr>
                <w:color w:val="000000" w:themeColor="text1"/>
                <w14:textFill>
                  <w14:solidFill>
                    <w14:schemeClr w14:val="tx1"/>
                  </w14:solidFill>
                </w14:textFill>
              </w:rPr>
              <w:t>0.3m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D540B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）采取整体浮运就位时，干舷高度小于</w:t>
            </w:r>
            <w:r>
              <w:rPr>
                <w:color w:val="000000" w:themeColor="text1"/>
                <w14:textFill>
                  <w14:solidFill>
                    <w14:schemeClr w14:val="tx1"/>
                  </w14:solidFill>
                </w14:textFill>
              </w:rPr>
              <w:t>3m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分；浮运速度大于</w:t>
            </w:r>
            <w:r>
              <w:rPr>
                <w:color w:val="000000" w:themeColor="text1"/>
                <w14:textFill>
                  <w14:solidFill>
                    <w14:schemeClr w14:val="tx1"/>
                  </w14:solidFill>
                </w14:textFill>
              </w:rPr>
              <w:t>0.5m/s</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分；未应设置防溜绳，扣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14F297E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E0A6CF9">
            <w:pPr>
              <w:pStyle w:val="42"/>
              <w:rPr>
                <w:color w:val="000000" w:themeColor="text1"/>
                <w14:textFill>
                  <w14:solidFill>
                    <w14:schemeClr w14:val="tx1"/>
                  </w14:solidFill>
                </w14:textFill>
              </w:rPr>
            </w:pPr>
          </w:p>
        </w:tc>
        <w:tc>
          <w:tcPr>
            <w:tcW w:w="720" w:type="dxa"/>
            <w:vAlign w:val="center"/>
          </w:tcPr>
          <w:p w14:paraId="76A10C97">
            <w:pPr>
              <w:pStyle w:val="42"/>
              <w:rPr>
                <w:color w:val="000000" w:themeColor="text1"/>
                <w14:textFill>
                  <w14:solidFill>
                    <w14:schemeClr w14:val="tx1"/>
                  </w14:solidFill>
                </w14:textFill>
              </w:rPr>
            </w:pPr>
          </w:p>
        </w:tc>
      </w:tr>
      <w:tr w14:paraId="44BD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798454C2">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1667210">
            <w:pPr>
              <w:pStyle w:val="42"/>
              <w:rPr>
                <w:color w:val="000000" w:themeColor="text1"/>
                <w14:textFill>
                  <w14:solidFill>
                    <w14:schemeClr w14:val="tx1"/>
                  </w14:solidFill>
                </w14:textFill>
              </w:rPr>
            </w:pPr>
          </w:p>
        </w:tc>
        <w:tc>
          <w:tcPr>
            <w:tcW w:w="898" w:type="dxa"/>
            <w:vAlign w:val="center"/>
          </w:tcPr>
          <w:p w14:paraId="28CE8EF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钢围堰安装</w:t>
            </w:r>
          </w:p>
        </w:tc>
        <w:tc>
          <w:tcPr>
            <w:tcW w:w="5580" w:type="dxa"/>
            <w:vAlign w:val="center"/>
          </w:tcPr>
          <w:p w14:paraId="2B26000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）钢板桩或钢管桩围堰在施打前，其锁口未采取可靠的止水措施，扣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306ACA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）钢吊箱在浇筑封底混凝土前，未对底板与桩护筒之间的缝隙进行封堵，扣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39A15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）钢围堰施打或下沉应未取可靠的定位系统和导向装置，扣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DC0BC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钢围堰接高或下沉作业过程中，未采取保持围堰稳定的措施或围堰处于悬浮状态，扣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31BA83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）施工过程中未监测水位变化或围堰内外水头差超过设计允许范围，扣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EB9253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）围堰抽水时未及时加设围檩和支撑系统，扣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07817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）钢吊箱围堰进行围堰内抽水、体系转换作业时，封底混凝土未达到设计强度，扣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3D9000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E65B2E2">
            <w:pPr>
              <w:pStyle w:val="42"/>
              <w:rPr>
                <w:color w:val="000000" w:themeColor="text1"/>
                <w14:textFill>
                  <w14:solidFill>
                    <w14:schemeClr w14:val="tx1"/>
                  </w14:solidFill>
                </w14:textFill>
              </w:rPr>
            </w:pPr>
          </w:p>
        </w:tc>
        <w:tc>
          <w:tcPr>
            <w:tcW w:w="720" w:type="dxa"/>
            <w:vAlign w:val="center"/>
          </w:tcPr>
          <w:p w14:paraId="16487D0C">
            <w:pPr>
              <w:pStyle w:val="42"/>
              <w:rPr>
                <w:color w:val="000000" w:themeColor="text1"/>
                <w14:textFill>
                  <w14:solidFill>
                    <w14:schemeClr w14:val="tx1"/>
                  </w14:solidFill>
                </w14:textFill>
              </w:rPr>
            </w:pPr>
          </w:p>
        </w:tc>
      </w:tr>
      <w:tr w14:paraId="3161F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A32D999">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155582C8">
            <w:pPr>
              <w:pStyle w:val="42"/>
              <w:rPr>
                <w:color w:val="000000" w:themeColor="text1"/>
                <w14:textFill>
                  <w14:solidFill>
                    <w14:schemeClr w14:val="tx1"/>
                  </w14:solidFill>
                </w14:textFill>
              </w:rPr>
            </w:pPr>
          </w:p>
        </w:tc>
        <w:tc>
          <w:tcPr>
            <w:tcW w:w="898" w:type="dxa"/>
            <w:vAlign w:val="center"/>
          </w:tcPr>
          <w:p w14:paraId="7EE03D1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585AA1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）在原材料和构配件进场进场、围堰结构安装完成、安全防护设施安装完毕时，未进行分阶段验收，或未形成记录，扣</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14:paraId="3429B62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）围堰施工完成、投入使用前未办理完工验收手续，扣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2FCA2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）完工验收未形成记录或未经责任人签字确认，扣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B82AB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）各阶段检查验收内容和指标未进行量化，扣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A126FA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458848D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72FFBF6">
            <w:pPr>
              <w:pStyle w:val="42"/>
              <w:rPr>
                <w:color w:val="000000" w:themeColor="text1"/>
                <w14:textFill>
                  <w14:solidFill>
                    <w14:schemeClr w14:val="tx1"/>
                  </w14:solidFill>
                </w14:textFill>
              </w:rPr>
            </w:pPr>
          </w:p>
        </w:tc>
        <w:tc>
          <w:tcPr>
            <w:tcW w:w="720" w:type="dxa"/>
            <w:vAlign w:val="center"/>
          </w:tcPr>
          <w:p w14:paraId="29E446A7">
            <w:pPr>
              <w:pStyle w:val="42"/>
              <w:rPr>
                <w:color w:val="000000" w:themeColor="text1"/>
                <w14:textFill>
                  <w14:solidFill>
                    <w14:schemeClr w14:val="tx1"/>
                  </w14:solidFill>
                </w14:textFill>
              </w:rPr>
            </w:pPr>
          </w:p>
        </w:tc>
      </w:tr>
      <w:tr w14:paraId="7407D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9B9EC74">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2DC2DB16">
            <w:pPr>
              <w:pStyle w:val="42"/>
              <w:rPr>
                <w:color w:val="000000" w:themeColor="text1"/>
                <w14:textFill>
                  <w14:solidFill>
                    <w14:schemeClr w14:val="tx1"/>
                  </w14:solidFill>
                </w14:textFill>
              </w:rPr>
            </w:pPr>
          </w:p>
        </w:tc>
        <w:tc>
          <w:tcPr>
            <w:tcW w:w="898" w:type="dxa"/>
            <w:vAlign w:val="center"/>
          </w:tcPr>
          <w:p w14:paraId="3B9771B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监测</w:t>
            </w:r>
          </w:p>
        </w:tc>
        <w:tc>
          <w:tcPr>
            <w:tcW w:w="5580" w:type="dxa"/>
            <w:vAlign w:val="center"/>
          </w:tcPr>
          <w:p w14:paraId="70404F3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）未编制监测方案或未按照监测方案对围堰结构、内外部水位和相邻有影响的建（构）筑物进行监测监控，扣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D7D6C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）未设置变形观测基准点和观测点，扣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275EFA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）布设支撑前未测读变形观测和水位观测的初始值，扣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F22ED8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）监测监控未记录监测时间、工况、监测点、监测项目和报警值，扣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779916C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）围堰内抽水时未对围堰各部位的变形进行监测，扣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26358DA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76A9F63">
            <w:pPr>
              <w:pStyle w:val="42"/>
              <w:rPr>
                <w:color w:val="000000" w:themeColor="text1"/>
                <w14:textFill>
                  <w14:solidFill>
                    <w14:schemeClr w14:val="tx1"/>
                  </w14:solidFill>
                </w14:textFill>
              </w:rPr>
            </w:pPr>
          </w:p>
        </w:tc>
        <w:tc>
          <w:tcPr>
            <w:tcW w:w="720" w:type="dxa"/>
            <w:vAlign w:val="center"/>
          </w:tcPr>
          <w:p w14:paraId="6DCF7194">
            <w:pPr>
              <w:pStyle w:val="42"/>
              <w:rPr>
                <w:color w:val="000000" w:themeColor="text1"/>
                <w14:textFill>
                  <w14:solidFill>
                    <w14:schemeClr w14:val="tx1"/>
                  </w14:solidFill>
                </w14:textFill>
              </w:rPr>
            </w:pPr>
          </w:p>
        </w:tc>
      </w:tr>
      <w:tr w14:paraId="3118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53FA56E">
            <w:pPr>
              <w:pStyle w:val="42"/>
              <w:rPr>
                <w:color w:val="000000" w:themeColor="text1"/>
                <w14:textFill>
                  <w14:solidFill>
                    <w14:schemeClr w14:val="tx1"/>
                  </w14:solidFill>
                </w14:textFill>
              </w:rPr>
            </w:pPr>
          </w:p>
        </w:tc>
        <w:tc>
          <w:tcPr>
            <w:tcW w:w="543" w:type="dxa"/>
            <w:vMerge w:val="continue"/>
          </w:tcPr>
          <w:p w14:paraId="00ADA349">
            <w:pPr>
              <w:pStyle w:val="42"/>
              <w:rPr>
                <w:color w:val="000000" w:themeColor="text1"/>
                <w14:textFill>
                  <w14:solidFill>
                    <w14:schemeClr w14:val="tx1"/>
                  </w14:solidFill>
                </w14:textFill>
              </w:rPr>
            </w:pPr>
          </w:p>
        </w:tc>
        <w:tc>
          <w:tcPr>
            <w:tcW w:w="6478" w:type="dxa"/>
            <w:gridSpan w:val="2"/>
            <w:vAlign w:val="center"/>
          </w:tcPr>
          <w:p w14:paraId="21374BE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78648DB4">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44B3E225">
            <w:pPr>
              <w:pStyle w:val="42"/>
              <w:rPr>
                <w:color w:val="000000" w:themeColor="text1"/>
                <w14:textFill>
                  <w14:solidFill>
                    <w14:schemeClr w14:val="tx1"/>
                  </w14:solidFill>
                </w14:textFill>
              </w:rPr>
            </w:pPr>
          </w:p>
        </w:tc>
        <w:tc>
          <w:tcPr>
            <w:tcW w:w="720" w:type="dxa"/>
            <w:vAlign w:val="center"/>
          </w:tcPr>
          <w:p w14:paraId="0B969C8B">
            <w:pPr>
              <w:pStyle w:val="42"/>
              <w:rPr>
                <w:color w:val="000000" w:themeColor="text1"/>
                <w14:textFill>
                  <w14:solidFill>
                    <w14:schemeClr w14:val="tx1"/>
                  </w14:solidFill>
                </w14:textFill>
              </w:rPr>
            </w:pPr>
          </w:p>
        </w:tc>
      </w:tr>
      <w:tr w14:paraId="209F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265482E2">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6B10420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3408BF2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0943398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49C7002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589771C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安全使用</w:t>
            </w:r>
          </w:p>
        </w:tc>
        <w:tc>
          <w:tcPr>
            <w:tcW w:w="5580" w:type="dxa"/>
            <w:vAlign w:val="center"/>
          </w:tcPr>
          <w:p w14:paraId="630144B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）围堰顶的高度不满足正常施工状态下围堰内不灌水得要求，扣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CDD2C5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）使用过程中未经重新设计私自加高钢围堰，扣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47702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）上部作业平台施工均布荷载、集中荷载超过设计允许范围，扣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374ECC3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1E5784D">
            <w:pPr>
              <w:pStyle w:val="42"/>
              <w:rPr>
                <w:color w:val="000000" w:themeColor="text1"/>
                <w14:textFill>
                  <w14:solidFill>
                    <w14:schemeClr w14:val="tx1"/>
                  </w14:solidFill>
                </w14:textFill>
              </w:rPr>
            </w:pPr>
          </w:p>
        </w:tc>
        <w:tc>
          <w:tcPr>
            <w:tcW w:w="720" w:type="dxa"/>
            <w:vAlign w:val="center"/>
          </w:tcPr>
          <w:p w14:paraId="54CD3B60">
            <w:pPr>
              <w:pStyle w:val="42"/>
              <w:rPr>
                <w:color w:val="000000" w:themeColor="text1"/>
                <w14:textFill>
                  <w14:solidFill>
                    <w14:schemeClr w14:val="tx1"/>
                  </w14:solidFill>
                </w14:textFill>
              </w:rPr>
            </w:pPr>
          </w:p>
        </w:tc>
      </w:tr>
      <w:tr w14:paraId="605B3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7918DD3">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3FD55EB">
            <w:pPr>
              <w:pStyle w:val="42"/>
              <w:rPr>
                <w:color w:val="000000" w:themeColor="text1"/>
                <w14:textFill>
                  <w14:solidFill>
                    <w14:schemeClr w14:val="tx1"/>
                  </w14:solidFill>
                </w14:textFill>
              </w:rPr>
            </w:pPr>
          </w:p>
        </w:tc>
        <w:tc>
          <w:tcPr>
            <w:tcW w:w="898" w:type="dxa"/>
            <w:vAlign w:val="center"/>
          </w:tcPr>
          <w:p w14:paraId="19609EE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4849FDF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）钢围堰内外未按规定设置上下通道，扣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AD653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）临边未按规定设置防护栏杆，扣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151DF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）船舶停泊处水中围堰未设置船舶靠泊系揽桩，或将船舶系缆于围堰结构上，扣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E4DB8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）通航水域围堰的临边栏杆未设置反光设施，或边角处未设置红色警示灯，扣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62F9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）通航水域的围堰未设置船舶防撞桩，扣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90B73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）围堰上未配备足够的、各种类型的消防、救生器材，扣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3221DE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E0B5C33">
            <w:pPr>
              <w:pStyle w:val="42"/>
              <w:rPr>
                <w:color w:val="000000" w:themeColor="text1"/>
                <w14:textFill>
                  <w14:solidFill>
                    <w14:schemeClr w14:val="tx1"/>
                  </w14:solidFill>
                </w14:textFill>
              </w:rPr>
            </w:pPr>
          </w:p>
        </w:tc>
        <w:tc>
          <w:tcPr>
            <w:tcW w:w="720" w:type="dxa"/>
            <w:vAlign w:val="center"/>
          </w:tcPr>
          <w:p w14:paraId="7C26C609">
            <w:pPr>
              <w:pStyle w:val="42"/>
              <w:rPr>
                <w:color w:val="000000" w:themeColor="text1"/>
                <w14:textFill>
                  <w14:solidFill>
                    <w14:schemeClr w14:val="tx1"/>
                  </w14:solidFill>
                </w14:textFill>
              </w:rPr>
            </w:pPr>
          </w:p>
        </w:tc>
      </w:tr>
      <w:tr w14:paraId="5768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66B53F">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327FEAED">
            <w:pPr>
              <w:pStyle w:val="42"/>
              <w:rPr>
                <w:color w:val="000000" w:themeColor="text1"/>
                <w14:textFill>
                  <w14:solidFill>
                    <w14:schemeClr w14:val="tx1"/>
                  </w14:solidFill>
                </w14:textFill>
              </w:rPr>
            </w:pPr>
          </w:p>
        </w:tc>
        <w:tc>
          <w:tcPr>
            <w:tcW w:w="898" w:type="dxa"/>
            <w:vAlign w:val="center"/>
          </w:tcPr>
          <w:p w14:paraId="68A1557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拆除</w:t>
            </w:r>
          </w:p>
        </w:tc>
        <w:tc>
          <w:tcPr>
            <w:tcW w:w="5580" w:type="dxa"/>
            <w:vAlign w:val="center"/>
          </w:tcPr>
          <w:p w14:paraId="53336D1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）钢板桩或钢管桩围堰拆除未按从下游侧开始逐步向上游侧的顺序进行，扣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718DA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）钢板桩或钢管桩围堰内支撑拆除未按从下往上的顺序进行，或未按照先拆除支撑，再拆除围檩，最后拔出钢板桩或钢管桩的顺序进行拆除，扣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B2D64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）钢套箱或钢吊箱围堰未按照先上后下、先支撑后侧板的顺序进行拆除，扣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A03F43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）钢围堰拆除未采取向围堰内注水或在侧板上开连通孔，使内外水压保持平衡的措施，扣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94AFFD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）每道支撑拆除前，未按专项施工方案的规定采取换撑措施，扣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8732F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）钢管桩或钢板桩拔桩的起重设备未配置超载限制器，或强制进行拔桩，扣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EA9ACB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）从事钢围堰拆除作业潜水员未经专业机构培训并取得相应从业资格，扣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58691F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BE873B6">
            <w:pPr>
              <w:pStyle w:val="42"/>
              <w:rPr>
                <w:color w:val="000000" w:themeColor="text1"/>
                <w14:textFill>
                  <w14:solidFill>
                    <w14:schemeClr w14:val="tx1"/>
                  </w14:solidFill>
                </w14:textFill>
              </w:rPr>
            </w:pPr>
          </w:p>
        </w:tc>
        <w:tc>
          <w:tcPr>
            <w:tcW w:w="720" w:type="dxa"/>
            <w:vAlign w:val="center"/>
          </w:tcPr>
          <w:p w14:paraId="243B80CB">
            <w:pPr>
              <w:pStyle w:val="42"/>
              <w:rPr>
                <w:color w:val="000000" w:themeColor="text1"/>
                <w14:textFill>
                  <w14:solidFill>
                    <w14:schemeClr w14:val="tx1"/>
                  </w14:solidFill>
                </w14:textFill>
              </w:rPr>
            </w:pPr>
          </w:p>
        </w:tc>
      </w:tr>
      <w:tr w14:paraId="3AA6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1C6670A">
            <w:pPr>
              <w:pStyle w:val="42"/>
              <w:rPr>
                <w:color w:val="000000" w:themeColor="text1"/>
                <w14:textFill>
                  <w14:solidFill>
                    <w14:schemeClr w14:val="tx1"/>
                  </w14:solidFill>
                </w14:textFill>
              </w:rPr>
            </w:pPr>
          </w:p>
        </w:tc>
        <w:tc>
          <w:tcPr>
            <w:tcW w:w="543" w:type="dxa"/>
            <w:vMerge w:val="continue"/>
          </w:tcPr>
          <w:p w14:paraId="08EF3712">
            <w:pPr>
              <w:pStyle w:val="42"/>
              <w:rPr>
                <w:color w:val="000000" w:themeColor="text1"/>
                <w14:textFill>
                  <w14:solidFill>
                    <w14:schemeClr w14:val="tx1"/>
                  </w14:solidFill>
                </w14:textFill>
              </w:rPr>
            </w:pPr>
          </w:p>
        </w:tc>
        <w:tc>
          <w:tcPr>
            <w:tcW w:w="6478" w:type="dxa"/>
            <w:gridSpan w:val="2"/>
            <w:vAlign w:val="center"/>
          </w:tcPr>
          <w:p w14:paraId="5C663B44">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0124284D">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324B4A03">
            <w:pPr>
              <w:pStyle w:val="42"/>
              <w:rPr>
                <w:color w:val="000000" w:themeColor="text1"/>
                <w14:textFill>
                  <w14:solidFill>
                    <w14:schemeClr w14:val="tx1"/>
                  </w14:solidFill>
                </w14:textFill>
              </w:rPr>
            </w:pPr>
          </w:p>
        </w:tc>
        <w:tc>
          <w:tcPr>
            <w:tcW w:w="720" w:type="dxa"/>
            <w:vAlign w:val="center"/>
          </w:tcPr>
          <w:p w14:paraId="357513CD">
            <w:pPr>
              <w:pStyle w:val="42"/>
              <w:rPr>
                <w:color w:val="000000" w:themeColor="text1"/>
                <w14:textFill>
                  <w14:solidFill>
                    <w14:schemeClr w14:val="tx1"/>
                  </w14:solidFill>
                </w14:textFill>
              </w:rPr>
            </w:pPr>
          </w:p>
        </w:tc>
      </w:tr>
      <w:tr w14:paraId="75AF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05983BD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78EF6CAD">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1740582F">
            <w:pPr>
              <w:pStyle w:val="42"/>
              <w:rPr>
                <w:color w:val="000000" w:themeColor="text1"/>
                <w14:textFill>
                  <w14:solidFill>
                    <w14:schemeClr w14:val="tx1"/>
                  </w14:solidFill>
                </w14:textFill>
              </w:rPr>
            </w:pPr>
          </w:p>
        </w:tc>
        <w:tc>
          <w:tcPr>
            <w:tcW w:w="720" w:type="dxa"/>
            <w:vAlign w:val="center"/>
          </w:tcPr>
          <w:p w14:paraId="27DDC380">
            <w:pPr>
              <w:pStyle w:val="42"/>
              <w:rPr>
                <w:color w:val="000000" w:themeColor="text1"/>
                <w14:textFill>
                  <w14:solidFill>
                    <w14:schemeClr w14:val="tx1"/>
                  </w14:solidFill>
                </w14:textFill>
              </w:rPr>
            </w:pPr>
          </w:p>
        </w:tc>
      </w:tr>
    </w:tbl>
    <w:p w14:paraId="60BD798A">
      <w:pPr>
        <w:rPr>
          <w:color w:val="000000" w:themeColor="text1"/>
          <w14:textFill>
            <w14:solidFill>
              <w14:schemeClr w14:val="tx1"/>
            </w14:solidFill>
          </w14:textFill>
        </w:rPr>
      </w:pPr>
    </w:p>
    <w:p w14:paraId="0BACC010">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24" w:name="_Toc18899"/>
      <w:bookmarkStart w:id="25" w:name="_Toc9756"/>
      <w:bookmarkStart w:id="26" w:name="_Toc10548"/>
      <w:r>
        <w:rPr>
          <w:rFonts w:hint="eastAsia"/>
          <w:color w:val="000000" w:themeColor="text1"/>
          <w14:textFill>
            <w14:solidFill>
              <w14:schemeClr w14:val="tx1"/>
            </w14:solidFill>
          </w14:textFill>
        </w:rPr>
        <w:t>表</w:t>
      </w:r>
      <w:r>
        <w:rPr>
          <w:color w:val="000000" w:themeColor="text1"/>
          <w14:textFill>
            <w14:solidFill>
              <w14:schemeClr w14:val="tx1"/>
            </w14:solidFill>
          </w14:textFill>
        </w:rPr>
        <w:t xml:space="preserve">8  </w:t>
      </w:r>
      <w:r>
        <w:rPr>
          <w:rFonts w:hint="eastAsia"/>
          <w:color w:val="000000" w:themeColor="text1"/>
          <w14:textFill>
            <w14:solidFill>
              <w14:schemeClr w14:val="tx1"/>
            </w14:solidFill>
          </w14:textFill>
        </w:rPr>
        <w:t>土石围堰检查评分表</w:t>
      </w:r>
      <w:bookmarkEnd w:id="24"/>
      <w:bookmarkEnd w:id="25"/>
      <w:bookmarkEnd w:id="26"/>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DC66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57ECCD1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5111EDA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240F57C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4A61798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3F87EE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607EB39E">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4789DF04">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5F89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34AE15F9">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5208ADC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56F8426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19691F9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0E51842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C6DF63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199B50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未按规定编制专项施工方案或为进行设计计算，扣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47FDE0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）专项方案未按规定进行审核、审批，扣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193C74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）需要组织论证的专项施工方案，未按规定组织专家论证，扣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1562ED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5-15</w:t>
            </w:r>
            <w:r>
              <w:rPr>
                <w:rFonts w:hint="eastAsia"/>
                <w:color w:val="000000" w:themeColor="text1"/>
                <w14:textFill>
                  <w14:solidFill>
                    <w14:schemeClr w14:val="tx1"/>
                  </w14:solidFill>
                </w14:textFill>
              </w:rPr>
              <w:t>分</w:t>
            </w:r>
          </w:p>
        </w:tc>
        <w:tc>
          <w:tcPr>
            <w:tcW w:w="720" w:type="dxa"/>
            <w:vAlign w:val="center"/>
          </w:tcPr>
          <w:p w14:paraId="3835B8EF">
            <w:pPr>
              <w:pStyle w:val="4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720" w:type="dxa"/>
            <w:vAlign w:val="center"/>
          </w:tcPr>
          <w:p w14:paraId="1AA57FA4">
            <w:pPr>
              <w:pStyle w:val="42"/>
              <w:rPr>
                <w:color w:val="000000" w:themeColor="text1"/>
                <w14:textFill>
                  <w14:solidFill>
                    <w14:schemeClr w14:val="tx1"/>
                  </w14:solidFill>
                </w14:textFill>
              </w:rPr>
            </w:pPr>
          </w:p>
        </w:tc>
        <w:tc>
          <w:tcPr>
            <w:tcW w:w="720" w:type="dxa"/>
            <w:vAlign w:val="center"/>
          </w:tcPr>
          <w:p w14:paraId="156F5B27">
            <w:pPr>
              <w:pStyle w:val="42"/>
              <w:rPr>
                <w:color w:val="000000" w:themeColor="text1"/>
                <w14:textFill>
                  <w14:solidFill>
                    <w14:schemeClr w14:val="tx1"/>
                  </w14:solidFill>
                </w14:textFill>
              </w:rPr>
            </w:pPr>
          </w:p>
        </w:tc>
      </w:tr>
      <w:tr w14:paraId="5C400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4B58F072">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3E9EA58F">
            <w:pPr>
              <w:pStyle w:val="42"/>
              <w:rPr>
                <w:color w:val="000000" w:themeColor="text1"/>
                <w14:textFill>
                  <w14:solidFill>
                    <w14:schemeClr w14:val="tx1"/>
                  </w14:solidFill>
                </w14:textFill>
              </w:rPr>
            </w:pPr>
          </w:p>
        </w:tc>
        <w:tc>
          <w:tcPr>
            <w:tcW w:w="898" w:type="dxa"/>
            <w:vAlign w:val="center"/>
          </w:tcPr>
          <w:p w14:paraId="5A279C0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筑堰材料</w:t>
            </w:r>
          </w:p>
        </w:tc>
        <w:tc>
          <w:tcPr>
            <w:tcW w:w="5580" w:type="dxa"/>
            <w:vAlign w:val="center"/>
          </w:tcPr>
          <w:p w14:paraId="143F0E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）筑堰材料与土围堰的填筑方式不适应相适应，或筑堰材料不符合规定，扣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FE00F1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）用草袋、麻袋等装土筑堰时，填料渗水，或装土方式不符合规定，扣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6BB1C30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D825E47">
            <w:pPr>
              <w:pStyle w:val="42"/>
              <w:rPr>
                <w:color w:val="000000" w:themeColor="text1"/>
                <w14:textFill>
                  <w14:solidFill>
                    <w14:schemeClr w14:val="tx1"/>
                  </w14:solidFill>
                </w14:textFill>
              </w:rPr>
            </w:pPr>
          </w:p>
        </w:tc>
        <w:tc>
          <w:tcPr>
            <w:tcW w:w="720" w:type="dxa"/>
            <w:vAlign w:val="center"/>
          </w:tcPr>
          <w:p w14:paraId="0EECCC56">
            <w:pPr>
              <w:pStyle w:val="42"/>
              <w:rPr>
                <w:color w:val="000000" w:themeColor="text1"/>
                <w14:textFill>
                  <w14:solidFill>
                    <w14:schemeClr w14:val="tx1"/>
                  </w14:solidFill>
                </w14:textFill>
              </w:rPr>
            </w:pPr>
          </w:p>
        </w:tc>
      </w:tr>
      <w:tr w14:paraId="13C41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80C127B">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4F686BA">
            <w:pPr>
              <w:pStyle w:val="42"/>
              <w:rPr>
                <w:color w:val="000000" w:themeColor="text1"/>
                <w14:textFill>
                  <w14:solidFill>
                    <w14:schemeClr w14:val="tx1"/>
                  </w14:solidFill>
                </w14:textFill>
              </w:rPr>
            </w:pPr>
          </w:p>
        </w:tc>
        <w:tc>
          <w:tcPr>
            <w:tcW w:w="898" w:type="dxa"/>
            <w:vAlign w:val="center"/>
          </w:tcPr>
          <w:p w14:paraId="49CB372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堰身构造</w:t>
            </w:r>
          </w:p>
        </w:tc>
        <w:tc>
          <w:tcPr>
            <w:tcW w:w="5580" w:type="dxa"/>
            <w:vAlign w:val="center"/>
          </w:tcPr>
          <w:p w14:paraId="010989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）土石围堰的外形尺寸应影响河道泄洪或通航能力，扣</w:t>
            </w:r>
            <w:r>
              <w:rPr>
                <w:color w:val="000000" w:themeColor="text1"/>
                <w14:textFill>
                  <w14:solidFill>
                    <w14:schemeClr w14:val="tx1"/>
                  </w14:solidFill>
                </w14:textFill>
              </w:rPr>
              <w:t>10-15</w:t>
            </w:r>
            <w:r>
              <w:rPr>
                <w:rFonts w:hint="eastAsia"/>
                <w:color w:val="000000" w:themeColor="text1"/>
                <w14:textFill>
                  <w14:solidFill>
                    <w14:schemeClr w14:val="tx1"/>
                  </w14:solidFill>
                </w14:textFill>
              </w:rPr>
              <w:t>分</w:t>
            </w:r>
          </w:p>
          <w:p w14:paraId="07BF9F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）围堰高度不满足挡水安全要求，扣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068663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）围堰填筑宽度不符合专项方案和标准要求，或不能有效抵抗水压和流水冲刷，扣</w:t>
            </w:r>
            <w:r>
              <w:rPr>
                <w:color w:val="000000" w:themeColor="text1"/>
                <w14:textFill>
                  <w14:solidFill>
                    <w14:schemeClr w14:val="tx1"/>
                  </w14:solidFill>
                </w14:textFill>
              </w:rPr>
              <w:t>10-15</w:t>
            </w:r>
            <w:r>
              <w:rPr>
                <w:rFonts w:hint="eastAsia"/>
                <w:color w:val="000000" w:themeColor="text1"/>
                <w14:textFill>
                  <w14:solidFill>
                    <w14:schemeClr w14:val="tx1"/>
                  </w14:solidFill>
                </w14:textFill>
              </w:rPr>
              <w:t>分</w:t>
            </w:r>
          </w:p>
          <w:p w14:paraId="13CE90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）围堰外侧迎水面未采取防冲刷措施，或防水不严密，扣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7ACAE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）围堰填筑内侧坡脚到基坑开挖边缘距离不符专项施工方案要求，扣</w:t>
            </w:r>
            <w:r>
              <w:rPr>
                <w:color w:val="000000" w:themeColor="text1"/>
                <w14:textFill>
                  <w14:solidFill>
                    <w14:schemeClr w14:val="tx1"/>
                  </w14:solidFill>
                </w14:textFill>
              </w:rPr>
              <w:t>10-15</w:t>
            </w:r>
            <w:r>
              <w:rPr>
                <w:rFonts w:hint="eastAsia"/>
                <w:color w:val="000000" w:themeColor="text1"/>
                <w14:textFill>
                  <w14:solidFill>
                    <w14:schemeClr w14:val="tx1"/>
                  </w14:solidFill>
                </w14:textFill>
              </w:rPr>
              <w:t>分</w:t>
            </w:r>
          </w:p>
          <w:p w14:paraId="4BE113B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）堰身内外边坡坡率不应符合专项施工方案和标准要求，扣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5944DAD1">
            <w:pPr>
              <w:pStyle w:val="4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720" w:type="dxa"/>
            <w:vAlign w:val="center"/>
          </w:tcPr>
          <w:p w14:paraId="6282AD3D">
            <w:pPr>
              <w:pStyle w:val="42"/>
              <w:rPr>
                <w:color w:val="000000" w:themeColor="text1"/>
                <w14:textFill>
                  <w14:solidFill>
                    <w14:schemeClr w14:val="tx1"/>
                  </w14:solidFill>
                </w14:textFill>
              </w:rPr>
            </w:pPr>
          </w:p>
        </w:tc>
        <w:tc>
          <w:tcPr>
            <w:tcW w:w="720" w:type="dxa"/>
            <w:vAlign w:val="center"/>
          </w:tcPr>
          <w:p w14:paraId="30E3AB3A">
            <w:pPr>
              <w:pStyle w:val="42"/>
              <w:rPr>
                <w:color w:val="000000" w:themeColor="text1"/>
                <w14:textFill>
                  <w14:solidFill>
                    <w14:schemeClr w14:val="tx1"/>
                  </w14:solidFill>
                </w14:textFill>
              </w:rPr>
            </w:pPr>
          </w:p>
        </w:tc>
      </w:tr>
      <w:tr w14:paraId="703B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267DA6E">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44D69D3B">
            <w:pPr>
              <w:pStyle w:val="42"/>
              <w:rPr>
                <w:color w:val="000000" w:themeColor="text1"/>
                <w14:textFill>
                  <w14:solidFill>
                    <w14:schemeClr w14:val="tx1"/>
                  </w14:solidFill>
                </w14:textFill>
              </w:rPr>
            </w:pPr>
          </w:p>
        </w:tc>
        <w:tc>
          <w:tcPr>
            <w:tcW w:w="898" w:type="dxa"/>
            <w:vAlign w:val="center"/>
          </w:tcPr>
          <w:p w14:paraId="3E7EDF9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围堰填筑</w:t>
            </w:r>
          </w:p>
        </w:tc>
        <w:tc>
          <w:tcPr>
            <w:tcW w:w="5580" w:type="dxa"/>
            <w:vAlign w:val="center"/>
          </w:tcPr>
          <w:p w14:paraId="118DAC3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）未按规定到相关部门办理河道施工通航备案手续，扣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F78E8B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）围堰填筑未分层进行，扣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DA6DD2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）未将堰底河床处的树根、石块、杂物清除干净，扣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5E7161E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）围堰基础清理未在小围堰保护下进行，扣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D641C2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）堰体范围内的水井、泉眼、地道等未按规定处理，扣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分；未经验收并形成记录，扣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F04FE7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）竹笼、木笼、铅丝笼、钢笼围堰在套笼下水时未打桩固定，扣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B3069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）采用吸泥船吹砂筑岛时，其他船舶和无关人员进入作业区内，或有人员在承载吸泥管的浮筒上行走，扣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568EF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）围堰未按自上游到下游的顺序进行填筑，扣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C0BB67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AC45570">
            <w:pPr>
              <w:pStyle w:val="42"/>
              <w:rPr>
                <w:color w:val="000000" w:themeColor="text1"/>
                <w14:textFill>
                  <w14:solidFill>
                    <w14:schemeClr w14:val="tx1"/>
                  </w14:solidFill>
                </w14:textFill>
              </w:rPr>
            </w:pPr>
          </w:p>
        </w:tc>
        <w:tc>
          <w:tcPr>
            <w:tcW w:w="720" w:type="dxa"/>
            <w:vAlign w:val="center"/>
          </w:tcPr>
          <w:p w14:paraId="19143658">
            <w:pPr>
              <w:pStyle w:val="42"/>
              <w:rPr>
                <w:color w:val="000000" w:themeColor="text1"/>
                <w14:textFill>
                  <w14:solidFill>
                    <w14:schemeClr w14:val="tx1"/>
                  </w14:solidFill>
                </w14:textFill>
              </w:rPr>
            </w:pPr>
          </w:p>
        </w:tc>
      </w:tr>
      <w:tr w14:paraId="1A9F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C3EAAAA">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0C9F4B3">
            <w:pPr>
              <w:pStyle w:val="42"/>
              <w:rPr>
                <w:color w:val="000000" w:themeColor="text1"/>
                <w14:textFill>
                  <w14:solidFill>
                    <w14:schemeClr w14:val="tx1"/>
                  </w14:solidFill>
                </w14:textFill>
              </w:rPr>
            </w:pPr>
          </w:p>
        </w:tc>
        <w:tc>
          <w:tcPr>
            <w:tcW w:w="898" w:type="dxa"/>
            <w:vAlign w:val="center"/>
          </w:tcPr>
          <w:p w14:paraId="70E94DE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监测</w:t>
            </w:r>
          </w:p>
        </w:tc>
        <w:tc>
          <w:tcPr>
            <w:tcW w:w="5580" w:type="dxa"/>
            <w:vAlign w:val="center"/>
          </w:tcPr>
          <w:p w14:paraId="4159F98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）围堰施工过程中未进行全面监测，扣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43970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）未按规定设置水位标尺，扣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6F6B64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）未按规定记录各时间段的水位情况，扣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59DDC95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7B85648">
            <w:pPr>
              <w:pStyle w:val="42"/>
              <w:rPr>
                <w:color w:val="000000" w:themeColor="text1"/>
                <w14:textFill>
                  <w14:solidFill>
                    <w14:schemeClr w14:val="tx1"/>
                  </w14:solidFill>
                </w14:textFill>
              </w:rPr>
            </w:pPr>
          </w:p>
        </w:tc>
        <w:tc>
          <w:tcPr>
            <w:tcW w:w="720" w:type="dxa"/>
            <w:vAlign w:val="center"/>
          </w:tcPr>
          <w:p w14:paraId="22469878">
            <w:pPr>
              <w:pStyle w:val="42"/>
              <w:rPr>
                <w:color w:val="000000" w:themeColor="text1"/>
                <w14:textFill>
                  <w14:solidFill>
                    <w14:schemeClr w14:val="tx1"/>
                  </w14:solidFill>
                </w14:textFill>
              </w:rPr>
            </w:pPr>
          </w:p>
        </w:tc>
      </w:tr>
      <w:tr w14:paraId="4E24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E5AF7E">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5E0C050B">
            <w:pPr>
              <w:pStyle w:val="42"/>
              <w:rPr>
                <w:color w:val="000000" w:themeColor="text1"/>
                <w14:textFill>
                  <w14:solidFill>
                    <w14:schemeClr w14:val="tx1"/>
                  </w14:solidFill>
                </w14:textFill>
              </w:rPr>
            </w:pPr>
          </w:p>
        </w:tc>
        <w:tc>
          <w:tcPr>
            <w:tcW w:w="898" w:type="dxa"/>
            <w:vAlign w:val="center"/>
          </w:tcPr>
          <w:p w14:paraId="06EA535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验收</w:t>
            </w:r>
          </w:p>
        </w:tc>
        <w:tc>
          <w:tcPr>
            <w:tcW w:w="5580" w:type="dxa"/>
            <w:vAlign w:val="center"/>
          </w:tcPr>
          <w:p w14:paraId="077E217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围堰施工完毕未未按规定办理验收手续，扣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A502A1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验收内容未量化或未经责任人签字确认，扣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4F7E6269">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4C87FF4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2AA37A9">
            <w:pPr>
              <w:pStyle w:val="42"/>
              <w:rPr>
                <w:color w:val="000000" w:themeColor="text1"/>
                <w14:textFill>
                  <w14:solidFill>
                    <w14:schemeClr w14:val="tx1"/>
                  </w14:solidFill>
                </w14:textFill>
              </w:rPr>
            </w:pPr>
          </w:p>
        </w:tc>
        <w:tc>
          <w:tcPr>
            <w:tcW w:w="720" w:type="dxa"/>
            <w:vAlign w:val="center"/>
          </w:tcPr>
          <w:p w14:paraId="0FE73DCC">
            <w:pPr>
              <w:pStyle w:val="42"/>
              <w:rPr>
                <w:color w:val="000000" w:themeColor="text1"/>
                <w14:textFill>
                  <w14:solidFill>
                    <w14:schemeClr w14:val="tx1"/>
                  </w14:solidFill>
                </w14:textFill>
              </w:rPr>
            </w:pPr>
          </w:p>
        </w:tc>
      </w:tr>
      <w:tr w14:paraId="5BFD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871D354">
            <w:pPr>
              <w:pStyle w:val="42"/>
              <w:rPr>
                <w:color w:val="000000" w:themeColor="text1"/>
                <w14:textFill>
                  <w14:solidFill>
                    <w14:schemeClr w14:val="tx1"/>
                  </w14:solidFill>
                </w14:textFill>
              </w:rPr>
            </w:pPr>
          </w:p>
        </w:tc>
        <w:tc>
          <w:tcPr>
            <w:tcW w:w="543" w:type="dxa"/>
            <w:vMerge w:val="continue"/>
          </w:tcPr>
          <w:p w14:paraId="64308C49">
            <w:pPr>
              <w:pStyle w:val="42"/>
              <w:rPr>
                <w:color w:val="000000" w:themeColor="text1"/>
                <w14:textFill>
                  <w14:solidFill>
                    <w14:schemeClr w14:val="tx1"/>
                  </w14:solidFill>
                </w14:textFill>
              </w:rPr>
            </w:pPr>
          </w:p>
        </w:tc>
        <w:tc>
          <w:tcPr>
            <w:tcW w:w="6478" w:type="dxa"/>
            <w:gridSpan w:val="2"/>
            <w:vAlign w:val="center"/>
          </w:tcPr>
          <w:p w14:paraId="71A62D9E">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259583F">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3902ED71">
            <w:pPr>
              <w:pStyle w:val="42"/>
              <w:rPr>
                <w:color w:val="000000" w:themeColor="text1"/>
                <w14:textFill>
                  <w14:solidFill>
                    <w14:schemeClr w14:val="tx1"/>
                  </w14:solidFill>
                </w14:textFill>
              </w:rPr>
            </w:pPr>
          </w:p>
        </w:tc>
        <w:tc>
          <w:tcPr>
            <w:tcW w:w="720" w:type="dxa"/>
            <w:vAlign w:val="center"/>
          </w:tcPr>
          <w:p w14:paraId="747178B1">
            <w:pPr>
              <w:pStyle w:val="42"/>
              <w:rPr>
                <w:color w:val="000000" w:themeColor="text1"/>
                <w14:textFill>
                  <w14:solidFill>
                    <w14:schemeClr w14:val="tx1"/>
                  </w14:solidFill>
                </w14:textFill>
              </w:rPr>
            </w:pPr>
          </w:p>
        </w:tc>
      </w:tr>
      <w:tr w14:paraId="4BB0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D8614C6">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0A4B167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5856311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010CFDE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5A1361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DA3ADB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59626E5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）围堰作业区域未设置安全警戒标识或未采取隔离措施，扣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D0AF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）围堰上下游</w:t>
            </w:r>
            <w:r>
              <w:rPr>
                <w:color w:val="000000" w:themeColor="text1"/>
                <w14:textFill>
                  <w14:solidFill>
                    <w14:schemeClr w14:val="tx1"/>
                  </w14:solidFill>
                </w14:textFill>
              </w:rPr>
              <w:t>100m</w:t>
            </w:r>
            <w:r>
              <w:rPr>
                <w:rFonts w:hint="eastAsia"/>
                <w:color w:val="000000" w:themeColor="text1"/>
                <w14:textFill>
                  <w14:solidFill>
                    <w14:schemeClr w14:val="tx1"/>
                  </w14:solidFill>
                </w14:textFill>
              </w:rPr>
              <w:t>处未按规定设置航行标志</w:t>
            </w:r>
          </w:p>
          <w:p w14:paraId="575C96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）围堰周围未设置安全警示标志，扣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A28CA5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）未设置夜间警示灯，扣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E8F24D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）堰顶临边未按规定设置防护栏杆，扣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42F3E5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）围堰内未设置供人员上下的专用通道或通道设置不符合标准要求，扣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49934D5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9CEE648">
            <w:pPr>
              <w:pStyle w:val="42"/>
              <w:rPr>
                <w:color w:val="000000" w:themeColor="text1"/>
                <w14:textFill>
                  <w14:solidFill>
                    <w14:schemeClr w14:val="tx1"/>
                  </w14:solidFill>
                </w14:textFill>
              </w:rPr>
            </w:pPr>
          </w:p>
        </w:tc>
        <w:tc>
          <w:tcPr>
            <w:tcW w:w="720" w:type="dxa"/>
            <w:vAlign w:val="center"/>
          </w:tcPr>
          <w:p w14:paraId="0BD4F704">
            <w:pPr>
              <w:pStyle w:val="42"/>
              <w:rPr>
                <w:color w:val="000000" w:themeColor="text1"/>
                <w14:textFill>
                  <w14:solidFill>
                    <w14:schemeClr w14:val="tx1"/>
                  </w14:solidFill>
                </w14:textFill>
              </w:rPr>
            </w:pPr>
          </w:p>
        </w:tc>
      </w:tr>
      <w:tr w14:paraId="4D0D6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4761211">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30417891">
            <w:pPr>
              <w:pStyle w:val="42"/>
              <w:rPr>
                <w:color w:val="000000" w:themeColor="text1"/>
                <w14:textFill>
                  <w14:solidFill>
                    <w14:schemeClr w14:val="tx1"/>
                  </w14:solidFill>
                </w14:textFill>
              </w:rPr>
            </w:pPr>
          </w:p>
        </w:tc>
        <w:tc>
          <w:tcPr>
            <w:tcW w:w="898" w:type="dxa"/>
            <w:vAlign w:val="center"/>
          </w:tcPr>
          <w:p w14:paraId="0DD9955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拆除</w:t>
            </w:r>
          </w:p>
        </w:tc>
        <w:tc>
          <w:tcPr>
            <w:tcW w:w="5580" w:type="dxa"/>
            <w:vAlign w:val="center"/>
          </w:tcPr>
          <w:p w14:paraId="3FA2CF8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）围堰内工程基础施工完成后，未及时拆除围堰，扣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15CCF1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）围堰未按从下游至上游的顺序拆除，扣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24D31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）围堰拆除污染水体，扣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719837D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0C9548B">
            <w:pPr>
              <w:pStyle w:val="42"/>
              <w:rPr>
                <w:color w:val="000000" w:themeColor="text1"/>
                <w14:textFill>
                  <w14:solidFill>
                    <w14:schemeClr w14:val="tx1"/>
                  </w14:solidFill>
                </w14:textFill>
              </w:rPr>
            </w:pPr>
          </w:p>
        </w:tc>
        <w:tc>
          <w:tcPr>
            <w:tcW w:w="720" w:type="dxa"/>
            <w:vAlign w:val="center"/>
          </w:tcPr>
          <w:p w14:paraId="71891FD2">
            <w:pPr>
              <w:pStyle w:val="42"/>
              <w:rPr>
                <w:color w:val="000000" w:themeColor="text1"/>
                <w14:textFill>
                  <w14:solidFill>
                    <w14:schemeClr w14:val="tx1"/>
                  </w14:solidFill>
                </w14:textFill>
              </w:rPr>
            </w:pPr>
          </w:p>
        </w:tc>
      </w:tr>
      <w:tr w14:paraId="07A56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BCE768F">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5082591F">
            <w:pPr>
              <w:pStyle w:val="42"/>
              <w:rPr>
                <w:color w:val="000000" w:themeColor="text1"/>
                <w14:textFill>
                  <w14:solidFill>
                    <w14:schemeClr w14:val="tx1"/>
                  </w14:solidFill>
                </w14:textFill>
              </w:rPr>
            </w:pPr>
          </w:p>
        </w:tc>
        <w:tc>
          <w:tcPr>
            <w:tcW w:w="898" w:type="dxa"/>
            <w:vAlign w:val="center"/>
          </w:tcPr>
          <w:p w14:paraId="49EA761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河道清理</w:t>
            </w:r>
          </w:p>
        </w:tc>
        <w:tc>
          <w:tcPr>
            <w:tcW w:w="5580" w:type="dxa"/>
            <w:vAlign w:val="center"/>
          </w:tcPr>
          <w:p w14:paraId="4A9967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）拆除围堰弃土应未专项施工方案的规定外运，或往河道内抛填，扣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DD6B0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）围堰拆除后未按照当地水务相关部门要求清理河道，扣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35F825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F207E22">
            <w:pPr>
              <w:pStyle w:val="42"/>
              <w:rPr>
                <w:color w:val="000000" w:themeColor="text1"/>
                <w14:textFill>
                  <w14:solidFill>
                    <w14:schemeClr w14:val="tx1"/>
                  </w14:solidFill>
                </w14:textFill>
              </w:rPr>
            </w:pPr>
          </w:p>
        </w:tc>
        <w:tc>
          <w:tcPr>
            <w:tcW w:w="720" w:type="dxa"/>
            <w:vAlign w:val="center"/>
          </w:tcPr>
          <w:p w14:paraId="1A5D8E6A">
            <w:pPr>
              <w:pStyle w:val="42"/>
              <w:rPr>
                <w:color w:val="000000" w:themeColor="text1"/>
                <w14:textFill>
                  <w14:solidFill>
                    <w14:schemeClr w14:val="tx1"/>
                  </w14:solidFill>
                </w14:textFill>
              </w:rPr>
            </w:pPr>
          </w:p>
        </w:tc>
      </w:tr>
      <w:tr w14:paraId="1C06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9BDBC8B">
            <w:pPr>
              <w:pStyle w:val="42"/>
              <w:rPr>
                <w:color w:val="000000" w:themeColor="text1"/>
                <w14:textFill>
                  <w14:solidFill>
                    <w14:schemeClr w14:val="tx1"/>
                  </w14:solidFill>
                </w14:textFill>
              </w:rPr>
            </w:pPr>
          </w:p>
        </w:tc>
        <w:tc>
          <w:tcPr>
            <w:tcW w:w="543" w:type="dxa"/>
            <w:vMerge w:val="continue"/>
          </w:tcPr>
          <w:p w14:paraId="381D7FB9">
            <w:pPr>
              <w:pStyle w:val="42"/>
              <w:rPr>
                <w:color w:val="000000" w:themeColor="text1"/>
                <w14:textFill>
                  <w14:solidFill>
                    <w14:schemeClr w14:val="tx1"/>
                  </w14:solidFill>
                </w14:textFill>
              </w:rPr>
            </w:pPr>
          </w:p>
        </w:tc>
        <w:tc>
          <w:tcPr>
            <w:tcW w:w="6478" w:type="dxa"/>
            <w:gridSpan w:val="2"/>
            <w:vAlign w:val="center"/>
          </w:tcPr>
          <w:p w14:paraId="1247D06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79F6749C">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3825AF80">
            <w:pPr>
              <w:pStyle w:val="42"/>
              <w:rPr>
                <w:color w:val="000000" w:themeColor="text1"/>
                <w14:textFill>
                  <w14:solidFill>
                    <w14:schemeClr w14:val="tx1"/>
                  </w14:solidFill>
                </w14:textFill>
              </w:rPr>
            </w:pPr>
          </w:p>
        </w:tc>
        <w:tc>
          <w:tcPr>
            <w:tcW w:w="720" w:type="dxa"/>
            <w:vAlign w:val="center"/>
          </w:tcPr>
          <w:p w14:paraId="755547E4">
            <w:pPr>
              <w:pStyle w:val="42"/>
              <w:rPr>
                <w:color w:val="000000" w:themeColor="text1"/>
                <w14:textFill>
                  <w14:solidFill>
                    <w14:schemeClr w14:val="tx1"/>
                  </w14:solidFill>
                </w14:textFill>
              </w:rPr>
            </w:pPr>
          </w:p>
        </w:tc>
      </w:tr>
      <w:tr w14:paraId="3F09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3EB015CD">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0E413BB1">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545E105C">
            <w:pPr>
              <w:pStyle w:val="42"/>
              <w:rPr>
                <w:color w:val="000000" w:themeColor="text1"/>
                <w14:textFill>
                  <w14:solidFill>
                    <w14:schemeClr w14:val="tx1"/>
                  </w14:solidFill>
                </w14:textFill>
              </w:rPr>
            </w:pPr>
          </w:p>
        </w:tc>
        <w:tc>
          <w:tcPr>
            <w:tcW w:w="720" w:type="dxa"/>
            <w:vAlign w:val="center"/>
          </w:tcPr>
          <w:p w14:paraId="6AC12DB9">
            <w:pPr>
              <w:pStyle w:val="42"/>
              <w:rPr>
                <w:color w:val="000000" w:themeColor="text1"/>
                <w14:textFill>
                  <w14:solidFill>
                    <w14:schemeClr w14:val="tx1"/>
                  </w14:solidFill>
                </w14:textFill>
              </w:rPr>
            </w:pPr>
          </w:p>
        </w:tc>
      </w:tr>
    </w:tbl>
    <w:p w14:paraId="2CC909FB">
      <w:pPr>
        <w:rPr>
          <w:color w:val="000000" w:themeColor="text1"/>
          <w14:textFill>
            <w14:solidFill>
              <w14:schemeClr w14:val="tx1"/>
            </w14:solidFill>
          </w14:textFill>
        </w:rPr>
      </w:pPr>
    </w:p>
    <w:p w14:paraId="451E6548">
      <w:pPr>
        <w:pStyle w:val="3"/>
        <w:jc w:val="center"/>
        <w:rPr>
          <w:color w:val="000000" w:themeColor="text1"/>
          <w14:textFill>
            <w14:solidFill>
              <w14:schemeClr w14:val="tx1"/>
            </w14:solidFill>
          </w14:textFill>
        </w:rPr>
      </w:pPr>
      <w:r>
        <w:rPr>
          <w:color w:val="000000" w:themeColor="text1"/>
          <w14:textFill>
            <w14:solidFill>
              <w14:schemeClr w14:val="tx1"/>
            </w14:solidFill>
          </w14:textFill>
        </w:rPr>
        <w:br w:type="page"/>
      </w:r>
      <w:bookmarkStart w:id="27" w:name="_Toc1772"/>
      <w:bookmarkStart w:id="28" w:name="_Toc6639"/>
      <w:bookmarkStart w:id="29" w:name="_Toc7244"/>
      <w:r>
        <w:rPr>
          <w:rFonts w:hint="eastAsia"/>
          <w:color w:val="000000" w:themeColor="text1"/>
          <w14:textFill>
            <w14:solidFill>
              <w14:schemeClr w14:val="tx1"/>
            </w14:solidFill>
          </w14:textFill>
        </w:rPr>
        <w:t>表</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 xml:space="preserve">  沉井检查</w:t>
      </w:r>
      <w:r>
        <w:rPr>
          <w:color w:val="000000" w:themeColor="text1"/>
          <w14:textFill>
            <w14:solidFill>
              <w14:schemeClr w14:val="tx1"/>
            </w14:solidFill>
          </w14:textFill>
        </w:rPr>
        <w:t>评分表</w:t>
      </w:r>
      <w:bookmarkEnd w:id="27"/>
      <w:bookmarkEnd w:id="28"/>
      <w:bookmarkEnd w:id="29"/>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ADB0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13CD8B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4FE74F9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3AADD4E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43CE435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0141E0E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07BA0061">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38FC884B">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5E81E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19CC9D78">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6296123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32583C8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58467B1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773877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414DB9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51092B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）未按规定编制专项施工方案或未进行设计计算，扣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69EE97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F152F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）深度超过一定规模的沉井的专项施工方案未按规定组织专家论证，扣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EF25D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12E348F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719F4D0">
            <w:pPr>
              <w:pStyle w:val="42"/>
              <w:rPr>
                <w:color w:val="000000" w:themeColor="text1"/>
                <w14:textFill>
                  <w14:solidFill>
                    <w14:schemeClr w14:val="tx1"/>
                  </w14:solidFill>
                </w14:textFill>
              </w:rPr>
            </w:pPr>
          </w:p>
        </w:tc>
        <w:tc>
          <w:tcPr>
            <w:tcW w:w="720" w:type="dxa"/>
            <w:vAlign w:val="center"/>
          </w:tcPr>
          <w:p w14:paraId="54E9283D">
            <w:pPr>
              <w:pStyle w:val="42"/>
              <w:rPr>
                <w:color w:val="000000" w:themeColor="text1"/>
                <w14:textFill>
                  <w14:solidFill>
                    <w14:schemeClr w14:val="tx1"/>
                  </w14:solidFill>
                </w14:textFill>
              </w:rPr>
            </w:pPr>
          </w:p>
        </w:tc>
      </w:tr>
      <w:tr w14:paraId="6BBC4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37087D5E">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27093209">
            <w:pPr>
              <w:pStyle w:val="42"/>
              <w:rPr>
                <w:color w:val="000000" w:themeColor="text1"/>
                <w14:textFill>
                  <w14:solidFill>
                    <w14:schemeClr w14:val="tx1"/>
                  </w14:solidFill>
                </w14:textFill>
              </w:rPr>
            </w:pPr>
          </w:p>
        </w:tc>
        <w:tc>
          <w:tcPr>
            <w:tcW w:w="898" w:type="dxa"/>
            <w:vAlign w:val="center"/>
          </w:tcPr>
          <w:p w14:paraId="28A532A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沉井构造</w:t>
            </w:r>
          </w:p>
        </w:tc>
        <w:tc>
          <w:tcPr>
            <w:tcW w:w="5580" w:type="dxa"/>
            <w:vAlign w:val="center"/>
          </w:tcPr>
          <w:p w14:paraId="3351B3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）沉井的结构尺寸或构件的型号、间距、配筋等不符合专项施工方案的规定，扣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6A4251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）设置内支撑结构的沉井，其支撑间距、层数和构造不符合专项施工方案的规定，扣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BDBD2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）沉井的嵌固深度或封底混凝土厚度不符合专项施工方案的规定，扣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9C126E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）筑岛沉井的刃脚垫层设计未经计算确定，或垫层的厚度、宽度不符合设计与专项施工方案要求，扣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8C6B4B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C755C14">
            <w:pPr>
              <w:pStyle w:val="42"/>
              <w:rPr>
                <w:color w:val="000000" w:themeColor="text1"/>
                <w14:textFill>
                  <w14:solidFill>
                    <w14:schemeClr w14:val="tx1"/>
                  </w14:solidFill>
                </w14:textFill>
              </w:rPr>
            </w:pPr>
          </w:p>
        </w:tc>
        <w:tc>
          <w:tcPr>
            <w:tcW w:w="720" w:type="dxa"/>
            <w:vAlign w:val="center"/>
          </w:tcPr>
          <w:p w14:paraId="1A5FA7E6">
            <w:pPr>
              <w:pStyle w:val="42"/>
              <w:rPr>
                <w:color w:val="000000" w:themeColor="text1"/>
                <w14:textFill>
                  <w14:solidFill>
                    <w14:schemeClr w14:val="tx1"/>
                  </w14:solidFill>
                </w14:textFill>
              </w:rPr>
            </w:pPr>
          </w:p>
        </w:tc>
      </w:tr>
      <w:tr w14:paraId="7D382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0EAAF3A">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1FD4B334">
            <w:pPr>
              <w:pStyle w:val="42"/>
              <w:rPr>
                <w:color w:val="000000" w:themeColor="text1"/>
                <w14:textFill>
                  <w14:solidFill>
                    <w14:schemeClr w14:val="tx1"/>
                  </w14:solidFill>
                </w14:textFill>
              </w:rPr>
            </w:pPr>
          </w:p>
        </w:tc>
        <w:tc>
          <w:tcPr>
            <w:tcW w:w="898" w:type="dxa"/>
            <w:vAlign w:val="center"/>
          </w:tcPr>
          <w:p w14:paraId="2EA05CF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筑岛</w:t>
            </w:r>
          </w:p>
        </w:tc>
        <w:tc>
          <w:tcPr>
            <w:tcW w:w="5580" w:type="dxa"/>
            <w:vAlign w:val="center"/>
          </w:tcPr>
          <w:p w14:paraId="10E7450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）筑岛的尺寸不满足沉井制作及抽垫等施工的要求，扣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3164E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）未在沉井周围设置护道，扣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分；护道宽度不满足要求，扣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643E6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）岛面、平台面和坑底高程未高出施工期可能的最高水位</w:t>
            </w:r>
            <w:r>
              <w:rPr>
                <w:color w:val="000000" w:themeColor="text1"/>
                <w14:textFill>
                  <w14:solidFill>
                    <w14:schemeClr w14:val="tx1"/>
                  </w14:solidFill>
                </w14:textFill>
              </w:rPr>
              <w:t>0.7m</w:t>
            </w:r>
            <w:r>
              <w:rPr>
                <w:rFonts w:hint="eastAsia"/>
                <w:color w:val="000000" w:themeColor="text1"/>
                <w14:textFill>
                  <w14:solidFill>
                    <w14:schemeClr w14:val="tx1"/>
                  </w14:solidFill>
                </w14:textFill>
              </w:rPr>
              <w:t>以上，扣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2F4AF7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）筑岛选用的材料不满足设计要求等，或含有影响岛体受力及抽垫下沉的块体，扣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1E3A4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）斜坡上筑岛时未进行计算，或无抗滑措施，扣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A6C35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）在淤泥等软土上筑岛时，未采取换填或采取其他加固措施，扣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D08B9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）无围堰筑岛的临水面坡度大于</w:t>
            </w:r>
            <w:r>
              <w:rPr>
                <w:color w:val="000000" w:themeColor="text1"/>
                <w14:textFill>
                  <w14:solidFill>
                    <w14:schemeClr w14:val="tx1"/>
                  </w14:solidFill>
                </w14:textFill>
              </w:rPr>
              <w:t>1:1.75</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7CE9E6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）岛体不牢固，或地基承载力不满足设计要求，扣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53D8969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484D3D0">
            <w:pPr>
              <w:pStyle w:val="42"/>
              <w:rPr>
                <w:color w:val="000000" w:themeColor="text1"/>
                <w14:textFill>
                  <w14:solidFill>
                    <w14:schemeClr w14:val="tx1"/>
                  </w14:solidFill>
                </w14:textFill>
              </w:rPr>
            </w:pPr>
          </w:p>
        </w:tc>
        <w:tc>
          <w:tcPr>
            <w:tcW w:w="720" w:type="dxa"/>
            <w:vAlign w:val="center"/>
          </w:tcPr>
          <w:p w14:paraId="0EDA905C">
            <w:pPr>
              <w:pStyle w:val="42"/>
              <w:rPr>
                <w:color w:val="000000" w:themeColor="text1"/>
                <w14:textFill>
                  <w14:solidFill>
                    <w14:schemeClr w14:val="tx1"/>
                  </w14:solidFill>
                </w14:textFill>
              </w:rPr>
            </w:pPr>
          </w:p>
        </w:tc>
      </w:tr>
      <w:tr w14:paraId="48E3B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75706E8">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502F9460">
            <w:pPr>
              <w:pStyle w:val="42"/>
              <w:rPr>
                <w:color w:val="000000" w:themeColor="text1"/>
                <w14:textFill>
                  <w14:solidFill>
                    <w14:schemeClr w14:val="tx1"/>
                  </w14:solidFill>
                </w14:textFill>
              </w:rPr>
            </w:pPr>
          </w:p>
        </w:tc>
        <w:tc>
          <w:tcPr>
            <w:tcW w:w="898" w:type="dxa"/>
            <w:vAlign w:val="center"/>
          </w:tcPr>
          <w:p w14:paraId="7F0FA7C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沉井制作</w:t>
            </w:r>
          </w:p>
        </w:tc>
        <w:tc>
          <w:tcPr>
            <w:tcW w:w="5580" w:type="dxa"/>
            <w:vAlign w:val="center"/>
          </w:tcPr>
          <w:p w14:paraId="4BD5357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）制作底节沉井的脚手架平台和模板支撑架搭设不牢固，扣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354DD0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）后续各节的模板支撑于地面上或模板底部距地面小于</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CB254C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）支垫的布置不满足设计要求或不便于抽垫，扣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969E8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）支垫顶面未与钢刃脚底面贴紧，每处扣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4A4E71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）内隔墙与井壁连接处的支垫未连成整体，扣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192519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）底节沉井抽垫时混凝土强度不符合设计要求，或不满足抽垫后沉井受力要求，扣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4DCBF8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）支垫抽出未按照分区、依次、对称、同步的原则向沉井外抽出，或抽垫时未随抽随用砂土回填捣实，扣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552CBD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）定位支垫未在最后抽出或未同时抽出，扣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9E320A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）沉井底节最小高度以及上部分节制作高度不符合设计规定，或不能确保下沉过程的稳定性，扣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EA76DE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）钢沉井的分段、分块吊装单元未在胎架上组装、施焊，或首节钢沉井未在坚固的台座上或支垫上进行整体拼装，扣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9B2A8C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2B3257D">
            <w:pPr>
              <w:pStyle w:val="42"/>
              <w:rPr>
                <w:color w:val="000000" w:themeColor="text1"/>
                <w14:textFill>
                  <w14:solidFill>
                    <w14:schemeClr w14:val="tx1"/>
                  </w14:solidFill>
                </w14:textFill>
              </w:rPr>
            </w:pPr>
          </w:p>
        </w:tc>
        <w:tc>
          <w:tcPr>
            <w:tcW w:w="720" w:type="dxa"/>
            <w:vAlign w:val="center"/>
          </w:tcPr>
          <w:p w14:paraId="0CC29EDA">
            <w:pPr>
              <w:pStyle w:val="42"/>
              <w:rPr>
                <w:color w:val="000000" w:themeColor="text1"/>
                <w14:textFill>
                  <w14:solidFill>
                    <w14:schemeClr w14:val="tx1"/>
                  </w14:solidFill>
                </w14:textFill>
              </w:rPr>
            </w:pPr>
          </w:p>
        </w:tc>
      </w:tr>
      <w:tr w14:paraId="261A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4F101DB7">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5E377E43">
            <w:pPr>
              <w:pStyle w:val="42"/>
              <w:rPr>
                <w:color w:val="000000" w:themeColor="text1"/>
                <w14:textFill>
                  <w14:solidFill>
                    <w14:schemeClr w14:val="tx1"/>
                  </w14:solidFill>
                </w14:textFill>
              </w:rPr>
            </w:pPr>
          </w:p>
        </w:tc>
        <w:tc>
          <w:tcPr>
            <w:tcW w:w="898" w:type="dxa"/>
            <w:vAlign w:val="center"/>
          </w:tcPr>
          <w:p w14:paraId="31CF5D1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浮运与就位</w:t>
            </w:r>
          </w:p>
        </w:tc>
        <w:tc>
          <w:tcPr>
            <w:tcW w:w="5580" w:type="dxa"/>
            <w:vAlign w:val="center"/>
          </w:tcPr>
          <w:p w14:paraId="2A562B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）浮式沉井在浮运前未对底节进行水压试验，或对上部各节未进行水密性检查，扣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B0377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）在航道上浮运沉井的作业前，未办理通航备案手续，扣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ACAF8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）浮运、就位、接高的过程中出现沉井露出水面的高度均小于</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的情况，扣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98B2C5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）布置锚碇体系时锚绳受力不均匀，扣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82FCE8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）未采取措施避免导向船和沉井产生过大摆动或折断锚绳，扣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2B2A24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）采取滑移、牵引等措施下水时，沉井后侧未设置溜绳，扣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2E42E92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8EA87A7">
            <w:pPr>
              <w:pStyle w:val="42"/>
              <w:rPr>
                <w:color w:val="000000" w:themeColor="text1"/>
                <w14:textFill>
                  <w14:solidFill>
                    <w14:schemeClr w14:val="tx1"/>
                  </w14:solidFill>
                </w14:textFill>
              </w:rPr>
            </w:pPr>
          </w:p>
        </w:tc>
        <w:tc>
          <w:tcPr>
            <w:tcW w:w="720" w:type="dxa"/>
            <w:vAlign w:val="center"/>
          </w:tcPr>
          <w:p w14:paraId="496BA0A5">
            <w:pPr>
              <w:pStyle w:val="42"/>
              <w:rPr>
                <w:color w:val="000000" w:themeColor="text1"/>
                <w14:textFill>
                  <w14:solidFill>
                    <w14:schemeClr w14:val="tx1"/>
                  </w14:solidFill>
                </w14:textFill>
              </w:rPr>
            </w:pPr>
          </w:p>
        </w:tc>
      </w:tr>
      <w:tr w14:paraId="1ABC7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BB33FC3">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16EAF31D">
            <w:pPr>
              <w:pStyle w:val="42"/>
              <w:rPr>
                <w:color w:val="000000" w:themeColor="text1"/>
                <w14:textFill>
                  <w14:solidFill>
                    <w14:schemeClr w14:val="tx1"/>
                  </w14:solidFill>
                </w14:textFill>
              </w:rPr>
            </w:pPr>
          </w:p>
        </w:tc>
        <w:tc>
          <w:tcPr>
            <w:tcW w:w="898" w:type="dxa"/>
            <w:vAlign w:val="center"/>
          </w:tcPr>
          <w:p w14:paraId="2777036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下沉与接高</w:t>
            </w:r>
          </w:p>
        </w:tc>
        <w:tc>
          <w:tcPr>
            <w:tcW w:w="5580" w:type="dxa"/>
            <w:vAlign w:val="center"/>
          </w:tcPr>
          <w:p w14:paraId="2E35077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）筑岛沉井下沉时，挖土未按照自井孔中间向刃脚处分层、均匀、对称的原则进行，或先挖沉井外圈土，扣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82AA2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）由数个井室组成的沉井，未控制各井室之间除土面的标高保持一致，扣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EE0D5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）沉井在地面上接高时，井顶露出地面小于</w:t>
            </w:r>
            <w:r>
              <w:rPr>
                <w:color w:val="000000" w:themeColor="text1"/>
                <w14:textFill>
                  <w14:solidFill>
                    <w14:schemeClr w14:val="tx1"/>
                  </w14:solidFill>
                </w14:textFill>
              </w:rPr>
              <w:t>0.5m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E9E96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）水上沉井接高时井顶露出水面小于</w:t>
            </w:r>
            <w:r>
              <w:rPr>
                <w:color w:val="000000" w:themeColor="text1"/>
                <w14:textFill>
                  <w14:solidFill>
                    <w14:schemeClr w14:val="tx1"/>
                  </w14:solidFill>
                </w14:textFill>
              </w:rPr>
              <w:t>1.5m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EBFDA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）带气筒的浮式沉井，气筒未采取防护措施，扣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5FBD442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）下沉影响范围内的地面四周堆放杂物，扣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57EC5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）下沉时未对周围影响建（构）筑物、管线采取保护措施的，扣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9DE1F1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）在刃脚或内隔墙附近开挖时，有人员停留，扣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4158C4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）有底梁或支撑梁的沉井，有人员在梁下穿越，扣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AF844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）机械出土时井内站人，扣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78F7C4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）船上或支架上制作的浮式沉井，下水时水面波浪大或有船只经过，扣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2BC73F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12</w:t>
            </w:r>
            <w:r>
              <w:rPr>
                <w:rFonts w:hint="eastAsia"/>
                <w:color w:val="000000" w:themeColor="text1"/>
                <w14:textFill>
                  <w14:solidFill>
                    <w14:schemeClr w14:val="tx1"/>
                  </w14:solidFill>
                </w14:textFill>
              </w:rPr>
              <w:t>）空气幕辅助下沉的储气罐未放置在通风遮阳处或无专人操作，扣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FAC453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13</w:t>
            </w:r>
            <w:r>
              <w:rPr>
                <w:rFonts w:hint="eastAsia"/>
                <w:color w:val="000000" w:themeColor="text1"/>
                <w14:textFill>
                  <w14:solidFill>
                    <w14:schemeClr w14:val="tx1"/>
                  </w14:solidFill>
                </w14:textFill>
              </w:rPr>
              <w:t>）沉井接高时进行沉井内取土作业，扣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1D0CA0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7229AEB">
            <w:pPr>
              <w:pStyle w:val="42"/>
              <w:rPr>
                <w:color w:val="000000" w:themeColor="text1"/>
                <w14:textFill>
                  <w14:solidFill>
                    <w14:schemeClr w14:val="tx1"/>
                  </w14:solidFill>
                </w14:textFill>
              </w:rPr>
            </w:pPr>
          </w:p>
        </w:tc>
        <w:tc>
          <w:tcPr>
            <w:tcW w:w="720" w:type="dxa"/>
            <w:vAlign w:val="center"/>
          </w:tcPr>
          <w:p w14:paraId="2FFC6AAD">
            <w:pPr>
              <w:pStyle w:val="42"/>
              <w:rPr>
                <w:color w:val="000000" w:themeColor="text1"/>
                <w14:textFill>
                  <w14:solidFill>
                    <w14:schemeClr w14:val="tx1"/>
                  </w14:solidFill>
                </w14:textFill>
              </w:rPr>
            </w:pPr>
          </w:p>
        </w:tc>
      </w:tr>
      <w:tr w14:paraId="3515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D8F74CF">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3B37505D">
            <w:pPr>
              <w:pStyle w:val="42"/>
              <w:rPr>
                <w:color w:val="000000" w:themeColor="text1"/>
                <w14:textFill>
                  <w14:solidFill>
                    <w14:schemeClr w14:val="tx1"/>
                  </w14:solidFill>
                </w14:textFill>
              </w:rPr>
            </w:pPr>
          </w:p>
        </w:tc>
        <w:tc>
          <w:tcPr>
            <w:tcW w:w="898" w:type="dxa"/>
            <w:vAlign w:val="center"/>
          </w:tcPr>
          <w:p w14:paraId="22BB900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7F7124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）施工前未对所用的各项设备进行检查，扣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DA077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）在筑岛填筑完成或沉井井体制作完成后未进行验收，扣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DA332A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）钢筋混凝土沉井，未在浇筑混凝土前按规定进行钢筋隐蔽验收，扣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F8BC89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）在沉井施工完成后，未办理验收手续，或未形成验收记录，扣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E66B3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）各阶段检查验收内容和指标未进行量化，或未经责任人签字确认，扣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68A46F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DAD5A33">
            <w:pPr>
              <w:pStyle w:val="42"/>
              <w:rPr>
                <w:color w:val="000000" w:themeColor="text1"/>
                <w14:textFill>
                  <w14:solidFill>
                    <w14:schemeClr w14:val="tx1"/>
                  </w14:solidFill>
                </w14:textFill>
              </w:rPr>
            </w:pPr>
          </w:p>
        </w:tc>
        <w:tc>
          <w:tcPr>
            <w:tcW w:w="720" w:type="dxa"/>
            <w:vAlign w:val="center"/>
          </w:tcPr>
          <w:p w14:paraId="251348C6">
            <w:pPr>
              <w:pStyle w:val="42"/>
              <w:rPr>
                <w:color w:val="000000" w:themeColor="text1"/>
                <w14:textFill>
                  <w14:solidFill>
                    <w14:schemeClr w14:val="tx1"/>
                  </w14:solidFill>
                </w14:textFill>
              </w:rPr>
            </w:pPr>
          </w:p>
        </w:tc>
      </w:tr>
      <w:tr w14:paraId="753D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6CFC564">
            <w:pPr>
              <w:pStyle w:val="42"/>
              <w:rPr>
                <w:color w:val="000000" w:themeColor="text1"/>
                <w14:textFill>
                  <w14:solidFill>
                    <w14:schemeClr w14:val="tx1"/>
                  </w14:solidFill>
                </w14:textFill>
              </w:rPr>
            </w:pPr>
          </w:p>
        </w:tc>
        <w:tc>
          <w:tcPr>
            <w:tcW w:w="543" w:type="dxa"/>
            <w:vMerge w:val="continue"/>
          </w:tcPr>
          <w:p w14:paraId="54D71606">
            <w:pPr>
              <w:pStyle w:val="42"/>
              <w:rPr>
                <w:color w:val="000000" w:themeColor="text1"/>
                <w14:textFill>
                  <w14:solidFill>
                    <w14:schemeClr w14:val="tx1"/>
                  </w14:solidFill>
                </w14:textFill>
              </w:rPr>
            </w:pPr>
          </w:p>
        </w:tc>
        <w:tc>
          <w:tcPr>
            <w:tcW w:w="6478" w:type="dxa"/>
            <w:gridSpan w:val="2"/>
            <w:vAlign w:val="center"/>
          </w:tcPr>
          <w:p w14:paraId="2975B33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327B26B">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2FE35977">
            <w:pPr>
              <w:pStyle w:val="42"/>
              <w:rPr>
                <w:color w:val="000000" w:themeColor="text1"/>
                <w14:textFill>
                  <w14:solidFill>
                    <w14:schemeClr w14:val="tx1"/>
                  </w14:solidFill>
                </w14:textFill>
              </w:rPr>
            </w:pPr>
          </w:p>
        </w:tc>
        <w:tc>
          <w:tcPr>
            <w:tcW w:w="720" w:type="dxa"/>
            <w:vAlign w:val="center"/>
          </w:tcPr>
          <w:p w14:paraId="7A9A09EE">
            <w:pPr>
              <w:pStyle w:val="42"/>
              <w:rPr>
                <w:color w:val="000000" w:themeColor="text1"/>
                <w14:textFill>
                  <w14:solidFill>
                    <w14:schemeClr w14:val="tx1"/>
                  </w14:solidFill>
                </w14:textFill>
              </w:rPr>
            </w:pPr>
          </w:p>
        </w:tc>
      </w:tr>
      <w:tr w14:paraId="47763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F525112">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02B763D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7045CC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31461F5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8C9C1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C7C3CA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封底与填充</w:t>
            </w:r>
          </w:p>
        </w:tc>
        <w:tc>
          <w:tcPr>
            <w:tcW w:w="5580" w:type="dxa"/>
            <w:vAlign w:val="center"/>
          </w:tcPr>
          <w:p w14:paraId="514F98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）在降水条件下施工的干封底沉井，封底时未继续降水将地下水位保持在坑底</w:t>
            </w:r>
            <w:r>
              <w:rPr>
                <w:color w:val="000000" w:themeColor="text1"/>
                <w14:textFill>
                  <w14:solidFill>
                    <w14:schemeClr w14:val="tx1"/>
                  </w14:solidFill>
                </w14:textFill>
              </w:rPr>
              <w:t>0.5m</w:t>
            </w:r>
            <w:r>
              <w:rPr>
                <w:rFonts w:hint="eastAsia"/>
                <w:color w:val="000000" w:themeColor="text1"/>
                <w14:textFill>
                  <w14:solidFill>
                    <w14:schemeClr w14:val="tx1"/>
                  </w14:solidFill>
                </w14:textFill>
              </w:rPr>
              <w:t>以下，扣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E4E93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）水下封底沉井井内抽水时封底混凝土未达到设计强度，扣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88131A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）封底前井壁内隔墙及刃脚与封底混凝土接触面处的泥污未清理干净，扣</w:t>
            </w:r>
            <w:r>
              <w:rPr>
                <w:color w:val="000000" w:themeColor="text1"/>
                <w14:textFill>
                  <w14:solidFill>
                    <w14:schemeClr w14:val="tx1"/>
                  </w14:solidFill>
                </w14:textFill>
              </w:rPr>
              <w:t>2-3</w:t>
            </w:r>
            <w:r>
              <w:rPr>
                <w:rFonts w:hint="eastAsia"/>
                <w:color w:val="000000" w:themeColor="text1"/>
                <w14:textFill>
                  <w14:solidFill>
                    <w14:schemeClr w14:val="tx1"/>
                  </w14:solidFill>
                </w14:textFill>
              </w:rPr>
              <w:t>分</w:t>
            </w:r>
          </w:p>
          <w:p w14:paraId="56DE083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）配合水下封底的潜水人员未经专业机构培训并取得相应从业资格，扣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62F1C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）井孔填充时，所采用的材料、数量及填充顺序等不符合设计规定，扣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290C335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D5FB635">
            <w:pPr>
              <w:pStyle w:val="42"/>
              <w:rPr>
                <w:color w:val="000000" w:themeColor="text1"/>
                <w14:textFill>
                  <w14:solidFill>
                    <w14:schemeClr w14:val="tx1"/>
                  </w14:solidFill>
                </w14:textFill>
              </w:rPr>
            </w:pPr>
          </w:p>
        </w:tc>
        <w:tc>
          <w:tcPr>
            <w:tcW w:w="720" w:type="dxa"/>
            <w:vAlign w:val="center"/>
          </w:tcPr>
          <w:p w14:paraId="18CB381B">
            <w:pPr>
              <w:pStyle w:val="42"/>
              <w:rPr>
                <w:color w:val="000000" w:themeColor="text1"/>
                <w14:textFill>
                  <w14:solidFill>
                    <w14:schemeClr w14:val="tx1"/>
                  </w14:solidFill>
                </w14:textFill>
              </w:rPr>
            </w:pPr>
          </w:p>
        </w:tc>
      </w:tr>
      <w:tr w14:paraId="6B18A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410DD9F">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2614C413">
            <w:pPr>
              <w:pStyle w:val="42"/>
              <w:rPr>
                <w:color w:val="000000" w:themeColor="text1"/>
                <w14:textFill>
                  <w14:solidFill>
                    <w14:schemeClr w14:val="tx1"/>
                  </w14:solidFill>
                </w14:textFill>
              </w:rPr>
            </w:pPr>
          </w:p>
        </w:tc>
        <w:tc>
          <w:tcPr>
            <w:tcW w:w="898" w:type="dxa"/>
            <w:vAlign w:val="center"/>
          </w:tcPr>
          <w:p w14:paraId="41177E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使用与监测</w:t>
            </w:r>
          </w:p>
        </w:tc>
        <w:tc>
          <w:tcPr>
            <w:tcW w:w="5580" w:type="dxa"/>
            <w:vAlign w:val="center"/>
          </w:tcPr>
          <w:p w14:paraId="3136431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）浮式沉井顶的高度不满足正常施工状态下沉井内不灌水的要求，扣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0C6DCA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）上部作业平台施工均布荷载、集中荷载超过设计允许范围，扣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3EABE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）下沉时未进行连续观测，或未采取措施对轴线倾斜进行纠偏，扣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98262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）沉井使用过程中未对沉井结构、水位和相邻有影响的建（构）筑物进行监测监控，扣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AFEA6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）筑岛沉井施工期间未采取防护措施保证筑岛岛体的稳定，扣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7A631E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75522A4">
            <w:pPr>
              <w:pStyle w:val="42"/>
              <w:rPr>
                <w:color w:val="000000" w:themeColor="text1"/>
                <w14:textFill>
                  <w14:solidFill>
                    <w14:schemeClr w14:val="tx1"/>
                  </w14:solidFill>
                </w14:textFill>
              </w:rPr>
            </w:pPr>
          </w:p>
        </w:tc>
        <w:tc>
          <w:tcPr>
            <w:tcW w:w="720" w:type="dxa"/>
            <w:vAlign w:val="center"/>
          </w:tcPr>
          <w:p w14:paraId="1311BCAA">
            <w:pPr>
              <w:pStyle w:val="42"/>
              <w:rPr>
                <w:color w:val="000000" w:themeColor="text1"/>
                <w14:textFill>
                  <w14:solidFill>
                    <w14:schemeClr w14:val="tx1"/>
                  </w14:solidFill>
                </w14:textFill>
              </w:rPr>
            </w:pPr>
          </w:p>
        </w:tc>
      </w:tr>
      <w:tr w14:paraId="0BAC8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E8D5F3E">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54DB44C3">
            <w:pPr>
              <w:pStyle w:val="42"/>
              <w:rPr>
                <w:color w:val="000000" w:themeColor="text1"/>
                <w14:textFill>
                  <w14:solidFill>
                    <w14:schemeClr w14:val="tx1"/>
                  </w14:solidFill>
                </w14:textFill>
              </w:rPr>
            </w:pPr>
          </w:p>
        </w:tc>
        <w:tc>
          <w:tcPr>
            <w:tcW w:w="898" w:type="dxa"/>
            <w:vAlign w:val="center"/>
          </w:tcPr>
          <w:p w14:paraId="0F674D8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151749E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）临边未按规定设置防护栏杆，扣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F4BEA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）钢围堰内外未按规定设置上下通道，扣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分；各井室内未悬挂钢梯和安全绳，扣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12CEE1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）船舶停泊处水中沉井未设置船舶靠泊系揽桩，或船舶系缆于沉井结构上，扣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FFFC64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）通航水域沉井的临边栏杆未设置反光设施，或边角处未设置红色警示灯，扣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3287A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）通航水域的沉井未设置船舶防撞桩，扣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5D3B54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）水中沉井上未配备足够的、各种类型的消防、救生器材，扣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36A700B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F9DE096">
            <w:pPr>
              <w:pStyle w:val="42"/>
              <w:rPr>
                <w:color w:val="000000" w:themeColor="text1"/>
                <w14:textFill>
                  <w14:solidFill>
                    <w14:schemeClr w14:val="tx1"/>
                  </w14:solidFill>
                </w14:textFill>
              </w:rPr>
            </w:pPr>
          </w:p>
        </w:tc>
        <w:tc>
          <w:tcPr>
            <w:tcW w:w="720" w:type="dxa"/>
            <w:vAlign w:val="center"/>
          </w:tcPr>
          <w:p w14:paraId="25853226">
            <w:pPr>
              <w:pStyle w:val="42"/>
              <w:rPr>
                <w:color w:val="000000" w:themeColor="text1"/>
                <w14:textFill>
                  <w14:solidFill>
                    <w14:schemeClr w14:val="tx1"/>
                  </w14:solidFill>
                </w14:textFill>
              </w:rPr>
            </w:pPr>
          </w:p>
        </w:tc>
      </w:tr>
      <w:tr w14:paraId="13AA1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E92F7DF">
            <w:pPr>
              <w:pStyle w:val="42"/>
              <w:rPr>
                <w:color w:val="000000" w:themeColor="text1"/>
                <w14:textFill>
                  <w14:solidFill>
                    <w14:schemeClr w14:val="tx1"/>
                  </w14:solidFill>
                </w14:textFill>
              </w:rPr>
            </w:pPr>
          </w:p>
        </w:tc>
        <w:tc>
          <w:tcPr>
            <w:tcW w:w="543" w:type="dxa"/>
            <w:vMerge w:val="continue"/>
          </w:tcPr>
          <w:p w14:paraId="4B7FC396">
            <w:pPr>
              <w:pStyle w:val="42"/>
              <w:rPr>
                <w:color w:val="000000" w:themeColor="text1"/>
                <w14:textFill>
                  <w14:solidFill>
                    <w14:schemeClr w14:val="tx1"/>
                  </w14:solidFill>
                </w14:textFill>
              </w:rPr>
            </w:pPr>
          </w:p>
        </w:tc>
        <w:tc>
          <w:tcPr>
            <w:tcW w:w="6478" w:type="dxa"/>
            <w:gridSpan w:val="2"/>
            <w:vAlign w:val="center"/>
          </w:tcPr>
          <w:p w14:paraId="6F29E628">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634F186">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362DF525">
            <w:pPr>
              <w:pStyle w:val="42"/>
              <w:rPr>
                <w:color w:val="000000" w:themeColor="text1"/>
                <w14:textFill>
                  <w14:solidFill>
                    <w14:schemeClr w14:val="tx1"/>
                  </w14:solidFill>
                </w14:textFill>
              </w:rPr>
            </w:pPr>
          </w:p>
        </w:tc>
        <w:tc>
          <w:tcPr>
            <w:tcW w:w="720" w:type="dxa"/>
            <w:vAlign w:val="center"/>
          </w:tcPr>
          <w:p w14:paraId="033245E4">
            <w:pPr>
              <w:pStyle w:val="42"/>
              <w:rPr>
                <w:color w:val="000000" w:themeColor="text1"/>
                <w14:textFill>
                  <w14:solidFill>
                    <w14:schemeClr w14:val="tx1"/>
                  </w14:solidFill>
                </w14:textFill>
              </w:rPr>
            </w:pPr>
          </w:p>
        </w:tc>
      </w:tr>
      <w:tr w14:paraId="7C55F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6652F08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60CD7F8B">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20FAFD4F">
            <w:pPr>
              <w:pStyle w:val="42"/>
              <w:rPr>
                <w:color w:val="000000" w:themeColor="text1"/>
                <w14:textFill>
                  <w14:solidFill>
                    <w14:schemeClr w14:val="tx1"/>
                  </w14:solidFill>
                </w14:textFill>
              </w:rPr>
            </w:pPr>
          </w:p>
        </w:tc>
        <w:tc>
          <w:tcPr>
            <w:tcW w:w="720" w:type="dxa"/>
            <w:vAlign w:val="center"/>
          </w:tcPr>
          <w:p w14:paraId="47DB3A6E">
            <w:pPr>
              <w:pStyle w:val="42"/>
              <w:rPr>
                <w:color w:val="000000" w:themeColor="text1"/>
                <w14:textFill>
                  <w14:solidFill>
                    <w14:schemeClr w14:val="tx1"/>
                  </w14:solidFill>
                </w14:textFill>
              </w:rPr>
            </w:pPr>
          </w:p>
        </w:tc>
      </w:tr>
    </w:tbl>
    <w:p w14:paraId="2F44C400">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30" w:name="_Toc13744"/>
      <w:bookmarkStart w:id="31" w:name="_Toc24787"/>
      <w:bookmarkStart w:id="32" w:name="_Toc21434"/>
      <w:r>
        <w:rPr>
          <w:rFonts w:hint="eastAsia"/>
          <w:color w:val="000000" w:themeColor="text1"/>
          <w14:textFill>
            <w14:solidFill>
              <w14:schemeClr w14:val="tx1"/>
            </w14:solidFill>
          </w14:textFill>
        </w:rPr>
        <w:t>表</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 xml:space="preserve">  人工挖孔桩检查</w:t>
      </w:r>
      <w:r>
        <w:rPr>
          <w:color w:val="000000" w:themeColor="text1"/>
          <w14:textFill>
            <w14:solidFill>
              <w14:schemeClr w14:val="tx1"/>
            </w14:solidFill>
          </w14:textFill>
        </w:rPr>
        <w:t>评分表</w:t>
      </w:r>
      <w:bookmarkEnd w:id="30"/>
      <w:bookmarkEnd w:id="31"/>
      <w:bookmarkEnd w:id="32"/>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065E5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23778C5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6297730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5DBCF9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79883ED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1D43B96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6C73E1D4">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4D5C6441">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0E8D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4C0E3AA3">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162A8B0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01298FC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06240CE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426C78E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B6D3E8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1050BE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）采用人工挖孔桩作业不符合工程所在地的相关规定，扣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13BBF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分；编制内容不全，扣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7C4159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）超过一定规模的挖孔桩专项施工方案，未按规定组织专家论证，扣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5547E2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）未按规定进行审核、审批，扣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266C70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6D92A3A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AA052AE">
            <w:pPr>
              <w:pStyle w:val="42"/>
              <w:rPr>
                <w:color w:val="000000" w:themeColor="text1"/>
                <w14:textFill>
                  <w14:solidFill>
                    <w14:schemeClr w14:val="tx1"/>
                  </w14:solidFill>
                </w14:textFill>
              </w:rPr>
            </w:pPr>
          </w:p>
        </w:tc>
        <w:tc>
          <w:tcPr>
            <w:tcW w:w="720" w:type="dxa"/>
            <w:vAlign w:val="center"/>
          </w:tcPr>
          <w:p w14:paraId="29EF0AFC">
            <w:pPr>
              <w:pStyle w:val="42"/>
              <w:rPr>
                <w:color w:val="000000" w:themeColor="text1"/>
                <w14:textFill>
                  <w14:solidFill>
                    <w14:schemeClr w14:val="tx1"/>
                  </w14:solidFill>
                </w14:textFill>
              </w:rPr>
            </w:pPr>
          </w:p>
        </w:tc>
      </w:tr>
      <w:tr w14:paraId="43BA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387C9915">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6328B3B3">
            <w:pPr>
              <w:pStyle w:val="42"/>
              <w:rPr>
                <w:color w:val="000000" w:themeColor="text1"/>
                <w14:textFill>
                  <w14:solidFill>
                    <w14:schemeClr w14:val="tx1"/>
                  </w14:solidFill>
                </w14:textFill>
              </w:rPr>
            </w:pPr>
          </w:p>
        </w:tc>
        <w:tc>
          <w:tcPr>
            <w:tcW w:w="898" w:type="dxa"/>
            <w:vAlign w:val="center"/>
          </w:tcPr>
          <w:p w14:paraId="235ADBC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截水与排水</w:t>
            </w:r>
          </w:p>
        </w:tc>
        <w:tc>
          <w:tcPr>
            <w:tcW w:w="5580" w:type="dxa"/>
            <w:vAlign w:val="center"/>
          </w:tcPr>
          <w:p w14:paraId="7834026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）未在桩边以外或临近的边坡顶部设截、排水设施，扣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0B9F8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）桩基开挖深度范围内有地下水时未采取有效的降排水措施，扣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3354F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）桩孔内边抽水边开挖，扣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5CF600D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2045908">
            <w:pPr>
              <w:pStyle w:val="42"/>
              <w:rPr>
                <w:color w:val="000000" w:themeColor="text1"/>
                <w14:textFill>
                  <w14:solidFill>
                    <w14:schemeClr w14:val="tx1"/>
                  </w14:solidFill>
                </w14:textFill>
              </w:rPr>
            </w:pPr>
          </w:p>
        </w:tc>
        <w:tc>
          <w:tcPr>
            <w:tcW w:w="720" w:type="dxa"/>
            <w:vAlign w:val="center"/>
          </w:tcPr>
          <w:p w14:paraId="1C0FE898">
            <w:pPr>
              <w:pStyle w:val="42"/>
              <w:rPr>
                <w:color w:val="000000" w:themeColor="text1"/>
                <w14:textFill>
                  <w14:solidFill>
                    <w14:schemeClr w14:val="tx1"/>
                  </w14:solidFill>
                </w14:textFill>
              </w:rPr>
            </w:pPr>
          </w:p>
        </w:tc>
      </w:tr>
      <w:tr w14:paraId="7D09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54ED0B6">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39640D41">
            <w:pPr>
              <w:pStyle w:val="42"/>
              <w:rPr>
                <w:color w:val="000000" w:themeColor="text1"/>
                <w14:textFill>
                  <w14:solidFill>
                    <w14:schemeClr w14:val="tx1"/>
                  </w14:solidFill>
                </w14:textFill>
              </w:rPr>
            </w:pPr>
          </w:p>
        </w:tc>
        <w:tc>
          <w:tcPr>
            <w:tcW w:w="898" w:type="dxa"/>
            <w:vAlign w:val="center"/>
          </w:tcPr>
          <w:p w14:paraId="61EABF9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桩孔开挖</w:t>
            </w:r>
          </w:p>
        </w:tc>
        <w:tc>
          <w:tcPr>
            <w:tcW w:w="5580" w:type="dxa"/>
            <w:vAlign w:val="center"/>
          </w:tcPr>
          <w:p w14:paraId="2062D4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）桩孔开挖时临近边坡尚未完成支护，扣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410592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）挖孔桩开挖最小净距和跳挖间隔桩数不符合标准和设计要求，扣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DC2627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）采用混凝土护壁时，每循环开挖深度不符合专项施工方案的规定或大于</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E9CF3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）下层土方开挖时上层护壁混凝土强度未达到设计要求，扣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31E21D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）裸吊岩石时桩内人员未出井口，扣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3E8D1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）桩孔浇筑混凝土时相邻桩孔进行开挖，扣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38DD0E0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）未根据周边环境监测数据和地质条件的变化动态调整开挖步序，扣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5CCE462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0D32861">
            <w:pPr>
              <w:pStyle w:val="42"/>
              <w:rPr>
                <w:color w:val="000000" w:themeColor="text1"/>
                <w14:textFill>
                  <w14:solidFill>
                    <w14:schemeClr w14:val="tx1"/>
                  </w14:solidFill>
                </w14:textFill>
              </w:rPr>
            </w:pPr>
          </w:p>
        </w:tc>
        <w:tc>
          <w:tcPr>
            <w:tcW w:w="720" w:type="dxa"/>
            <w:vAlign w:val="center"/>
          </w:tcPr>
          <w:p w14:paraId="783CFE6C">
            <w:pPr>
              <w:pStyle w:val="42"/>
              <w:rPr>
                <w:color w:val="000000" w:themeColor="text1"/>
                <w14:textFill>
                  <w14:solidFill>
                    <w14:schemeClr w14:val="tx1"/>
                  </w14:solidFill>
                </w14:textFill>
              </w:rPr>
            </w:pPr>
          </w:p>
        </w:tc>
      </w:tr>
      <w:tr w14:paraId="2333D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7409EA4">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18D425B9">
            <w:pPr>
              <w:pStyle w:val="42"/>
              <w:rPr>
                <w:color w:val="000000" w:themeColor="text1"/>
                <w14:textFill>
                  <w14:solidFill>
                    <w14:schemeClr w14:val="tx1"/>
                  </w14:solidFill>
                </w14:textFill>
              </w:rPr>
            </w:pPr>
          </w:p>
        </w:tc>
        <w:tc>
          <w:tcPr>
            <w:tcW w:w="898" w:type="dxa"/>
            <w:vAlign w:val="center"/>
          </w:tcPr>
          <w:p w14:paraId="502E925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井边荷载</w:t>
            </w:r>
          </w:p>
        </w:tc>
        <w:tc>
          <w:tcPr>
            <w:tcW w:w="5580" w:type="dxa"/>
            <w:vAlign w:val="center"/>
          </w:tcPr>
          <w:p w14:paraId="3DDAAE8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）桩口周边</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范围内堆放物料，扣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422546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）桩口堆土高度大于</w:t>
            </w:r>
            <w:r>
              <w:rPr>
                <w:color w:val="000000" w:themeColor="text1"/>
                <w14:textFill>
                  <w14:solidFill>
                    <w14:schemeClr w14:val="tx1"/>
                  </w14:solidFill>
                </w14:textFill>
              </w:rPr>
              <w:t>1.0m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C82DF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）桩口堆载、车辆等大型施工机械的荷载超过设计规定，扣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552257A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CE79499">
            <w:pPr>
              <w:pStyle w:val="42"/>
              <w:rPr>
                <w:color w:val="000000" w:themeColor="text1"/>
                <w14:textFill>
                  <w14:solidFill>
                    <w14:schemeClr w14:val="tx1"/>
                  </w14:solidFill>
                </w14:textFill>
              </w:rPr>
            </w:pPr>
          </w:p>
        </w:tc>
        <w:tc>
          <w:tcPr>
            <w:tcW w:w="720" w:type="dxa"/>
            <w:vAlign w:val="center"/>
          </w:tcPr>
          <w:p w14:paraId="1DE89A6A">
            <w:pPr>
              <w:pStyle w:val="42"/>
              <w:rPr>
                <w:color w:val="000000" w:themeColor="text1"/>
                <w14:textFill>
                  <w14:solidFill>
                    <w14:schemeClr w14:val="tx1"/>
                  </w14:solidFill>
                </w14:textFill>
              </w:rPr>
            </w:pPr>
          </w:p>
        </w:tc>
      </w:tr>
      <w:tr w14:paraId="13338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472A7619">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F76E796">
            <w:pPr>
              <w:pStyle w:val="42"/>
              <w:rPr>
                <w:color w:val="000000" w:themeColor="text1"/>
                <w14:textFill>
                  <w14:solidFill>
                    <w14:schemeClr w14:val="tx1"/>
                  </w14:solidFill>
                </w14:textFill>
              </w:rPr>
            </w:pPr>
          </w:p>
        </w:tc>
        <w:tc>
          <w:tcPr>
            <w:tcW w:w="898" w:type="dxa"/>
            <w:vAlign w:val="center"/>
          </w:tcPr>
          <w:p w14:paraId="2B65C0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护壁</w:t>
            </w:r>
          </w:p>
        </w:tc>
        <w:tc>
          <w:tcPr>
            <w:tcW w:w="5580" w:type="dxa"/>
            <w:vAlign w:val="center"/>
          </w:tcPr>
          <w:p w14:paraId="18D3FD7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）第一节井圈护壁高出地面的距离低于</w:t>
            </w:r>
            <w:r>
              <w:rPr>
                <w:color w:val="000000" w:themeColor="text1"/>
                <w14:textFill>
                  <w14:solidFill>
                    <w14:schemeClr w14:val="tx1"/>
                  </w14:solidFill>
                </w14:textFill>
              </w:rPr>
              <w:t>200mm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27A65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）第一节井圈护壁未与首段护壁混凝土同时浇筑，扣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380AD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）护壁的厚度、混凝土强度等级、配筋不符合标准和设计的要求，扣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3707CC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）护壁有蜂窝、空洞、露筋缺陷，或开裂后无补救措施，扣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56219DF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）护壁混凝土采用人工搅拌，扣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861C44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4C351D1">
            <w:pPr>
              <w:pStyle w:val="42"/>
              <w:rPr>
                <w:color w:val="000000" w:themeColor="text1"/>
                <w14:textFill>
                  <w14:solidFill>
                    <w14:schemeClr w14:val="tx1"/>
                  </w14:solidFill>
                </w14:textFill>
              </w:rPr>
            </w:pPr>
          </w:p>
        </w:tc>
        <w:tc>
          <w:tcPr>
            <w:tcW w:w="720" w:type="dxa"/>
            <w:vAlign w:val="center"/>
          </w:tcPr>
          <w:p w14:paraId="1E41AE50">
            <w:pPr>
              <w:pStyle w:val="42"/>
              <w:rPr>
                <w:color w:val="000000" w:themeColor="text1"/>
                <w14:textFill>
                  <w14:solidFill>
                    <w14:schemeClr w14:val="tx1"/>
                  </w14:solidFill>
                </w14:textFill>
              </w:rPr>
            </w:pPr>
          </w:p>
        </w:tc>
      </w:tr>
      <w:tr w14:paraId="2A00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FFE80B3">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06FD08A7">
            <w:pPr>
              <w:pStyle w:val="42"/>
              <w:rPr>
                <w:color w:val="000000" w:themeColor="text1"/>
                <w14:textFill>
                  <w14:solidFill>
                    <w14:schemeClr w14:val="tx1"/>
                  </w14:solidFill>
                </w14:textFill>
              </w:rPr>
            </w:pPr>
          </w:p>
        </w:tc>
        <w:tc>
          <w:tcPr>
            <w:tcW w:w="898" w:type="dxa"/>
            <w:vAlign w:val="center"/>
          </w:tcPr>
          <w:p w14:paraId="6F7AB13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提升设施</w:t>
            </w:r>
          </w:p>
        </w:tc>
        <w:tc>
          <w:tcPr>
            <w:tcW w:w="5580" w:type="dxa"/>
            <w:vAlign w:val="center"/>
          </w:tcPr>
          <w:p w14:paraId="2F5650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）提升设施的基础不坚固或有沉降，扣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695E41D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）提升机架的搭设不符合专项施工方案的规定，或定型产品的安装不符合说明书的要求，扣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7EDEEE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）提升机架有严重变形或锈蚀，扣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69E26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）底座无垫板，扣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A915EB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）吊绳、吊钩、电葫芦或卷扬机等的型号、规格不符合专项施工方案的要求，扣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300605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）吊绳磨损超标，扣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ADDE36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）卷筒无自动卡紧保险装置或钢丝绳防脱装置，扣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9C24C7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）提升桶未采用钢制桶或吊耳及连接不牢固可靠，扣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55260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）一次出土重量超过专项施工方案规定的最大重量，扣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0BADAA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）施工期间提升设施无每日检查与维护记录，扣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15349E4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3254085">
            <w:pPr>
              <w:pStyle w:val="42"/>
              <w:rPr>
                <w:color w:val="000000" w:themeColor="text1"/>
                <w14:textFill>
                  <w14:solidFill>
                    <w14:schemeClr w14:val="tx1"/>
                  </w14:solidFill>
                </w14:textFill>
              </w:rPr>
            </w:pPr>
          </w:p>
        </w:tc>
        <w:tc>
          <w:tcPr>
            <w:tcW w:w="720" w:type="dxa"/>
            <w:vAlign w:val="center"/>
          </w:tcPr>
          <w:p w14:paraId="0000579E">
            <w:pPr>
              <w:pStyle w:val="42"/>
              <w:rPr>
                <w:color w:val="000000" w:themeColor="text1"/>
                <w14:textFill>
                  <w14:solidFill>
                    <w14:schemeClr w14:val="tx1"/>
                  </w14:solidFill>
                </w14:textFill>
              </w:rPr>
            </w:pPr>
          </w:p>
        </w:tc>
      </w:tr>
      <w:tr w14:paraId="46205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8F7CE33">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3D2BCF2C">
            <w:pPr>
              <w:pStyle w:val="42"/>
              <w:rPr>
                <w:color w:val="000000" w:themeColor="text1"/>
                <w14:textFill>
                  <w14:solidFill>
                    <w14:schemeClr w14:val="tx1"/>
                  </w14:solidFill>
                </w14:textFill>
              </w:rPr>
            </w:pPr>
          </w:p>
        </w:tc>
        <w:tc>
          <w:tcPr>
            <w:tcW w:w="898" w:type="dxa"/>
            <w:vAlign w:val="center"/>
          </w:tcPr>
          <w:p w14:paraId="04FC007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气体检测与通风</w:t>
            </w:r>
          </w:p>
        </w:tc>
        <w:tc>
          <w:tcPr>
            <w:tcW w:w="5580" w:type="dxa"/>
            <w:vAlign w:val="center"/>
          </w:tcPr>
          <w:p w14:paraId="32BBCF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）挖孔桩施工过程中未按要求配备有毒有害气体检测仪，扣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15A0F7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）人员每日下井工作前未进行井下气体检测，或无气体检测记录，扣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89C9B5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）当桩孔开挖深度超过</w:t>
            </w:r>
            <w:r>
              <w:rPr>
                <w:color w:val="000000" w:themeColor="text1"/>
                <w14:textFill>
                  <w14:solidFill>
                    <w14:schemeClr w14:val="tx1"/>
                  </w14:solidFill>
                </w14:textFill>
              </w:rPr>
              <w:t>5m</w:t>
            </w:r>
            <w:r>
              <w:rPr>
                <w:rFonts w:hint="eastAsia"/>
                <w:color w:val="000000" w:themeColor="text1"/>
                <w14:textFill>
                  <w14:solidFill>
                    <w14:schemeClr w14:val="tx1"/>
                  </w14:solidFill>
                </w14:textFill>
              </w:rPr>
              <w:t>或有特殊要求时未采用机械送风，或送风量小于</w:t>
            </w:r>
            <w:r>
              <w:rPr>
                <w:color w:val="000000" w:themeColor="text1"/>
                <w14:textFill>
                  <w14:solidFill>
                    <w14:schemeClr w14:val="tx1"/>
                  </w14:solidFill>
                </w14:textFill>
              </w:rPr>
              <w:t>25L/s</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C7B97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）桩孔在清渣、安装钢筋等井下作业时，未保持与桩孔开挖时的送风量，扣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18E8CA7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509455B">
            <w:pPr>
              <w:pStyle w:val="42"/>
              <w:rPr>
                <w:color w:val="000000" w:themeColor="text1"/>
                <w14:textFill>
                  <w14:solidFill>
                    <w14:schemeClr w14:val="tx1"/>
                  </w14:solidFill>
                </w14:textFill>
              </w:rPr>
            </w:pPr>
          </w:p>
        </w:tc>
        <w:tc>
          <w:tcPr>
            <w:tcW w:w="720" w:type="dxa"/>
            <w:vAlign w:val="center"/>
          </w:tcPr>
          <w:p w14:paraId="43EA90A4">
            <w:pPr>
              <w:pStyle w:val="42"/>
              <w:rPr>
                <w:color w:val="000000" w:themeColor="text1"/>
                <w14:textFill>
                  <w14:solidFill>
                    <w14:schemeClr w14:val="tx1"/>
                  </w14:solidFill>
                </w14:textFill>
              </w:rPr>
            </w:pPr>
          </w:p>
        </w:tc>
      </w:tr>
      <w:tr w14:paraId="164DF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EF7B759">
            <w:pPr>
              <w:pStyle w:val="42"/>
              <w:rPr>
                <w:color w:val="000000" w:themeColor="text1"/>
                <w14:textFill>
                  <w14:solidFill>
                    <w14:schemeClr w14:val="tx1"/>
                  </w14:solidFill>
                </w14:textFill>
              </w:rPr>
            </w:pPr>
          </w:p>
        </w:tc>
        <w:tc>
          <w:tcPr>
            <w:tcW w:w="543" w:type="dxa"/>
            <w:vMerge w:val="continue"/>
          </w:tcPr>
          <w:p w14:paraId="02E905DB">
            <w:pPr>
              <w:pStyle w:val="42"/>
              <w:rPr>
                <w:color w:val="000000" w:themeColor="text1"/>
                <w14:textFill>
                  <w14:solidFill>
                    <w14:schemeClr w14:val="tx1"/>
                  </w14:solidFill>
                </w14:textFill>
              </w:rPr>
            </w:pPr>
          </w:p>
        </w:tc>
        <w:tc>
          <w:tcPr>
            <w:tcW w:w="6478" w:type="dxa"/>
            <w:gridSpan w:val="2"/>
            <w:vAlign w:val="center"/>
          </w:tcPr>
          <w:p w14:paraId="0A61AED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3E24FF0C">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1EB30DAA">
            <w:pPr>
              <w:pStyle w:val="42"/>
              <w:rPr>
                <w:color w:val="000000" w:themeColor="text1"/>
                <w14:textFill>
                  <w14:solidFill>
                    <w14:schemeClr w14:val="tx1"/>
                  </w14:solidFill>
                </w14:textFill>
              </w:rPr>
            </w:pPr>
          </w:p>
        </w:tc>
        <w:tc>
          <w:tcPr>
            <w:tcW w:w="720" w:type="dxa"/>
            <w:vAlign w:val="center"/>
          </w:tcPr>
          <w:p w14:paraId="45C80FC0">
            <w:pPr>
              <w:pStyle w:val="42"/>
              <w:rPr>
                <w:color w:val="000000" w:themeColor="text1"/>
                <w14:textFill>
                  <w14:solidFill>
                    <w14:schemeClr w14:val="tx1"/>
                  </w14:solidFill>
                </w14:textFill>
              </w:rPr>
            </w:pPr>
          </w:p>
        </w:tc>
      </w:tr>
      <w:tr w14:paraId="72F73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143AA22D">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4EEE13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6DDCFF3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0B23036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602200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180E87C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上下梯道</w:t>
            </w:r>
          </w:p>
        </w:tc>
        <w:tc>
          <w:tcPr>
            <w:tcW w:w="5580" w:type="dxa"/>
            <w:vAlign w:val="center"/>
          </w:tcPr>
          <w:p w14:paraId="18B5DC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）井身超过</w:t>
            </w:r>
            <w:r>
              <w:rPr>
                <w:color w:val="000000" w:themeColor="text1"/>
                <w14:textFill>
                  <w14:solidFill>
                    <w14:schemeClr w14:val="tx1"/>
                  </w14:solidFill>
                </w14:textFill>
              </w:rPr>
              <w:t>2m</w:t>
            </w:r>
            <w:r>
              <w:rPr>
                <w:rFonts w:hint="eastAsia"/>
                <w:color w:val="000000" w:themeColor="text1"/>
                <w14:textFill>
                  <w14:solidFill>
                    <w14:schemeClr w14:val="tx1"/>
                  </w14:solidFill>
                </w14:textFill>
              </w:rPr>
              <w:t>时，桩孔内未设置刚性爬梯，扣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F149A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）上下爬梯不符合标准和专项施工方案的要求，扣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0A88FE7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）作业人员乘坐吊桶或攀爬护壁上下，扣除</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2FA583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0CDA72E">
            <w:pPr>
              <w:pStyle w:val="42"/>
              <w:rPr>
                <w:color w:val="000000" w:themeColor="text1"/>
                <w14:textFill>
                  <w14:solidFill>
                    <w14:schemeClr w14:val="tx1"/>
                  </w14:solidFill>
                </w14:textFill>
              </w:rPr>
            </w:pPr>
          </w:p>
        </w:tc>
        <w:tc>
          <w:tcPr>
            <w:tcW w:w="720" w:type="dxa"/>
            <w:vAlign w:val="center"/>
          </w:tcPr>
          <w:p w14:paraId="4938570F">
            <w:pPr>
              <w:pStyle w:val="42"/>
              <w:rPr>
                <w:color w:val="000000" w:themeColor="text1"/>
                <w14:textFill>
                  <w14:solidFill>
                    <w14:schemeClr w14:val="tx1"/>
                  </w14:solidFill>
                </w14:textFill>
              </w:rPr>
            </w:pPr>
          </w:p>
        </w:tc>
      </w:tr>
      <w:tr w14:paraId="1739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6EEA4B2">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3B79580D">
            <w:pPr>
              <w:pStyle w:val="42"/>
              <w:rPr>
                <w:color w:val="000000" w:themeColor="text1"/>
                <w14:textFill>
                  <w14:solidFill>
                    <w14:schemeClr w14:val="tx1"/>
                  </w14:solidFill>
                </w14:textFill>
              </w:rPr>
            </w:pPr>
          </w:p>
        </w:tc>
        <w:tc>
          <w:tcPr>
            <w:tcW w:w="898" w:type="dxa"/>
            <w:vAlign w:val="center"/>
          </w:tcPr>
          <w:p w14:paraId="7FEE0AE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7CF8980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）孔口和孔壁附着物未固定牢固，扣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BA8781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）停止作业时未对孔口加盖板防护，扣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C3EDC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）井口防护盖板不符合标准和专项施工方案要求，扣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4155395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）井口及周边未采取满足标准要求的防护措施，或未设立警示标志，扣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758C15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）井身超过</w:t>
            </w:r>
            <w:r>
              <w:rPr>
                <w:color w:val="000000" w:themeColor="text1"/>
                <w14:textFill>
                  <w14:solidFill>
                    <w14:schemeClr w14:val="tx1"/>
                  </w14:solidFill>
                </w14:textFill>
              </w:rPr>
              <w:t>5m</w:t>
            </w:r>
            <w:r>
              <w:rPr>
                <w:rFonts w:hint="eastAsia"/>
                <w:color w:val="000000" w:themeColor="text1"/>
                <w14:textFill>
                  <w14:solidFill>
                    <w14:schemeClr w14:val="tx1"/>
                  </w14:solidFill>
                </w14:textFill>
              </w:rPr>
              <w:t>时，井下未设置防止物体打击的护盖，扣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B097F0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）护盖位置、高度或构造不符合要求，扣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E6E73B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884C954">
            <w:pPr>
              <w:pStyle w:val="42"/>
              <w:rPr>
                <w:color w:val="000000" w:themeColor="text1"/>
                <w14:textFill>
                  <w14:solidFill>
                    <w14:schemeClr w14:val="tx1"/>
                  </w14:solidFill>
                </w14:textFill>
              </w:rPr>
            </w:pPr>
          </w:p>
        </w:tc>
        <w:tc>
          <w:tcPr>
            <w:tcW w:w="720" w:type="dxa"/>
            <w:vAlign w:val="center"/>
          </w:tcPr>
          <w:p w14:paraId="0BD01A15">
            <w:pPr>
              <w:pStyle w:val="42"/>
              <w:rPr>
                <w:color w:val="000000" w:themeColor="text1"/>
                <w14:textFill>
                  <w14:solidFill>
                    <w14:schemeClr w14:val="tx1"/>
                  </w14:solidFill>
                </w14:textFill>
              </w:rPr>
            </w:pPr>
          </w:p>
        </w:tc>
      </w:tr>
      <w:tr w14:paraId="75BDE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67B1505">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7734F162">
            <w:pPr>
              <w:pStyle w:val="42"/>
              <w:rPr>
                <w:color w:val="000000" w:themeColor="text1"/>
                <w14:textFill>
                  <w14:solidFill>
                    <w14:schemeClr w14:val="tx1"/>
                  </w14:solidFill>
                </w14:textFill>
              </w:rPr>
            </w:pPr>
          </w:p>
        </w:tc>
        <w:tc>
          <w:tcPr>
            <w:tcW w:w="898" w:type="dxa"/>
            <w:vAlign w:val="center"/>
          </w:tcPr>
          <w:p w14:paraId="4A97013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劳动保障</w:t>
            </w:r>
          </w:p>
        </w:tc>
        <w:tc>
          <w:tcPr>
            <w:tcW w:w="5580" w:type="dxa"/>
            <w:vAlign w:val="center"/>
          </w:tcPr>
          <w:p w14:paraId="20DC998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）人员作业及上下时未正确穿戴个人防护用品，扣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3A397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）桩内照明电压大于</w:t>
            </w:r>
            <w:r>
              <w:rPr>
                <w:color w:val="000000" w:themeColor="text1"/>
                <w14:textFill>
                  <w14:solidFill>
                    <w14:schemeClr w14:val="tx1"/>
                  </w14:solidFill>
                </w14:textFill>
              </w:rPr>
              <w:t>24V</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7234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）井下人员连续作业时间超过</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小时，扣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4086F8B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）桩口未设有监护人员，或未与桩内人员适时通话，扣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DCA9E5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1A93932">
            <w:pPr>
              <w:pStyle w:val="42"/>
              <w:rPr>
                <w:color w:val="000000" w:themeColor="text1"/>
                <w14:textFill>
                  <w14:solidFill>
                    <w14:schemeClr w14:val="tx1"/>
                  </w14:solidFill>
                </w14:textFill>
              </w:rPr>
            </w:pPr>
          </w:p>
        </w:tc>
        <w:tc>
          <w:tcPr>
            <w:tcW w:w="720" w:type="dxa"/>
            <w:vAlign w:val="center"/>
          </w:tcPr>
          <w:p w14:paraId="4F443C7D">
            <w:pPr>
              <w:pStyle w:val="42"/>
              <w:rPr>
                <w:color w:val="000000" w:themeColor="text1"/>
                <w14:textFill>
                  <w14:solidFill>
                    <w14:schemeClr w14:val="tx1"/>
                  </w14:solidFill>
                </w14:textFill>
              </w:rPr>
            </w:pPr>
          </w:p>
        </w:tc>
      </w:tr>
      <w:tr w14:paraId="75C5F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78C51A0">
            <w:pPr>
              <w:pStyle w:val="42"/>
              <w:rPr>
                <w:color w:val="000000" w:themeColor="text1"/>
                <w14:textFill>
                  <w14:solidFill>
                    <w14:schemeClr w14:val="tx1"/>
                  </w14:solidFill>
                </w14:textFill>
              </w:rPr>
            </w:pPr>
          </w:p>
        </w:tc>
        <w:tc>
          <w:tcPr>
            <w:tcW w:w="543" w:type="dxa"/>
            <w:vMerge w:val="continue"/>
          </w:tcPr>
          <w:p w14:paraId="6ADE7A45">
            <w:pPr>
              <w:pStyle w:val="42"/>
              <w:rPr>
                <w:color w:val="000000" w:themeColor="text1"/>
                <w14:textFill>
                  <w14:solidFill>
                    <w14:schemeClr w14:val="tx1"/>
                  </w14:solidFill>
                </w14:textFill>
              </w:rPr>
            </w:pPr>
          </w:p>
        </w:tc>
        <w:tc>
          <w:tcPr>
            <w:tcW w:w="6478" w:type="dxa"/>
            <w:gridSpan w:val="2"/>
            <w:vAlign w:val="center"/>
          </w:tcPr>
          <w:p w14:paraId="525FE8BD">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132D645">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7D2FB782">
            <w:pPr>
              <w:pStyle w:val="42"/>
              <w:rPr>
                <w:color w:val="000000" w:themeColor="text1"/>
                <w14:textFill>
                  <w14:solidFill>
                    <w14:schemeClr w14:val="tx1"/>
                  </w14:solidFill>
                </w14:textFill>
              </w:rPr>
            </w:pPr>
          </w:p>
        </w:tc>
        <w:tc>
          <w:tcPr>
            <w:tcW w:w="720" w:type="dxa"/>
            <w:vAlign w:val="center"/>
          </w:tcPr>
          <w:p w14:paraId="23D9394C">
            <w:pPr>
              <w:pStyle w:val="42"/>
              <w:rPr>
                <w:color w:val="000000" w:themeColor="text1"/>
                <w14:textFill>
                  <w14:solidFill>
                    <w14:schemeClr w14:val="tx1"/>
                  </w14:solidFill>
                </w14:textFill>
              </w:rPr>
            </w:pPr>
          </w:p>
        </w:tc>
      </w:tr>
      <w:tr w14:paraId="4D88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59668656">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0CB572C1">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6A310FCA">
            <w:pPr>
              <w:pStyle w:val="42"/>
              <w:rPr>
                <w:color w:val="000000" w:themeColor="text1"/>
                <w14:textFill>
                  <w14:solidFill>
                    <w14:schemeClr w14:val="tx1"/>
                  </w14:solidFill>
                </w14:textFill>
              </w:rPr>
            </w:pPr>
          </w:p>
        </w:tc>
        <w:tc>
          <w:tcPr>
            <w:tcW w:w="720" w:type="dxa"/>
            <w:vAlign w:val="center"/>
          </w:tcPr>
          <w:p w14:paraId="1AA34C75">
            <w:pPr>
              <w:pStyle w:val="42"/>
              <w:rPr>
                <w:color w:val="000000" w:themeColor="text1"/>
                <w14:textFill>
                  <w14:solidFill>
                    <w14:schemeClr w14:val="tx1"/>
                  </w14:solidFill>
                </w14:textFill>
              </w:rPr>
            </w:pPr>
          </w:p>
        </w:tc>
      </w:tr>
    </w:tbl>
    <w:p w14:paraId="67030151">
      <w:pPr>
        <w:rPr>
          <w:color w:val="000000" w:themeColor="text1"/>
          <w14:textFill>
            <w14:solidFill>
              <w14:schemeClr w14:val="tx1"/>
            </w14:solidFill>
          </w14:textFill>
        </w:rPr>
      </w:pPr>
    </w:p>
    <w:p w14:paraId="663B09C8">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33" w:name="_Toc24641"/>
      <w:bookmarkStart w:id="34" w:name="_Toc822"/>
      <w:bookmarkStart w:id="35" w:name="_Toc14704"/>
      <w:r>
        <w:rPr>
          <w:rFonts w:hint="eastAsia"/>
          <w:color w:val="000000" w:themeColor="text1"/>
          <w14:textFill>
            <w14:solidFill>
              <w14:schemeClr w14:val="tx1"/>
            </w14:solidFill>
          </w14:textFill>
        </w:rPr>
        <w:t>表1</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 xml:space="preserve">  钢管双排脚手架检查</w:t>
      </w:r>
      <w:r>
        <w:rPr>
          <w:color w:val="000000" w:themeColor="text1"/>
          <w14:textFill>
            <w14:solidFill>
              <w14:schemeClr w14:val="tx1"/>
            </w14:solidFill>
          </w14:textFill>
        </w:rPr>
        <w:t>评分表</w:t>
      </w:r>
      <w:bookmarkEnd w:id="33"/>
      <w:bookmarkEnd w:id="34"/>
      <w:bookmarkEnd w:id="35"/>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F25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61E2DD7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0E2999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0C57336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51E9ED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4FFE283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1516F70D">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6A087D87">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1B46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631C87BB">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569C6EC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3DBA9F4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69109FF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4907294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364426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1FDFB59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）未按规定编制专项施工方案，或架体结构和连墙件、立杆地基承载力未经设计计算，扣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123B74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783B6A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）架体搭设高度超过一定规模时，未按规定组织专家对专项施工方案进行论证，扣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453B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7B4C96E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2F2E0A7">
            <w:pPr>
              <w:pStyle w:val="42"/>
              <w:rPr>
                <w:color w:val="000000" w:themeColor="text1"/>
                <w14:textFill>
                  <w14:solidFill>
                    <w14:schemeClr w14:val="tx1"/>
                  </w14:solidFill>
                </w14:textFill>
              </w:rPr>
            </w:pPr>
          </w:p>
        </w:tc>
        <w:tc>
          <w:tcPr>
            <w:tcW w:w="720" w:type="dxa"/>
            <w:vAlign w:val="center"/>
          </w:tcPr>
          <w:p w14:paraId="55CD1D7D">
            <w:pPr>
              <w:pStyle w:val="42"/>
              <w:rPr>
                <w:color w:val="000000" w:themeColor="text1"/>
                <w14:textFill>
                  <w14:solidFill>
                    <w14:schemeClr w14:val="tx1"/>
                  </w14:solidFill>
                </w14:textFill>
              </w:rPr>
            </w:pPr>
          </w:p>
        </w:tc>
      </w:tr>
      <w:tr w14:paraId="7D08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19EA46E3">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648D1F83">
            <w:pPr>
              <w:pStyle w:val="42"/>
              <w:rPr>
                <w:color w:val="000000" w:themeColor="text1"/>
                <w14:textFill>
                  <w14:solidFill>
                    <w14:schemeClr w14:val="tx1"/>
                  </w14:solidFill>
                </w14:textFill>
              </w:rPr>
            </w:pPr>
          </w:p>
        </w:tc>
        <w:tc>
          <w:tcPr>
            <w:tcW w:w="898" w:type="dxa"/>
            <w:vAlign w:val="center"/>
          </w:tcPr>
          <w:p w14:paraId="3D1CD7A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构配件材质</w:t>
            </w:r>
          </w:p>
        </w:tc>
        <w:tc>
          <w:tcPr>
            <w:tcW w:w="5580" w:type="dxa"/>
            <w:vAlign w:val="center"/>
          </w:tcPr>
          <w:p w14:paraId="5DD96F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）进场的钢管及构配件无质量合格证、产品性能检验报告，扣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3DB8BC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）钢管及构配件的规格、型号、材质或产品质量不符合标准要求，扣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C9650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）钢管弯曲、变形、锈蚀严重，扣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5F62F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）焊缝不饱满或存在开焊，扣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BDA70C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）所采用的扣件未进行复试或技术性能不符合标准要求，扣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FC2C20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0E53036">
            <w:pPr>
              <w:pStyle w:val="42"/>
              <w:rPr>
                <w:color w:val="000000" w:themeColor="text1"/>
                <w14:textFill>
                  <w14:solidFill>
                    <w14:schemeClr w14:val="tx1"/>
                  </w14:solidFill>
                </w14:textFill>
              </w:rPr>
            </w:pPr>
          </w:p>
        </w:tc>
        <w:tc>
          <w:tcPr>
            <w:tcW w:w="720" w:type="dxa"/>
            <w:vAlign w:val="center"/>
          </w:tcPr>
          <w:p w14:paraId="1C3A43D0">
            <w:pPr>
              <w:pStyle w:val="42"/>
              <w:rPr>
                <w:color w:val="000000" w:themeColor="text1"/>
                <w14:textFill>
                  <w14:solidFill>
                    <w14:schemeClr w14:val="tx1"/>
                  </w14:solidFill>
                </w14:textFill>
              </w:rPr>
            </w:pPr>
          </w:p>
        </w:tc>
      </w:tr>
      <w:tr w14:paraId="5F88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08A78E3">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33228303">
            <w:pPr>
              <w:pStyle w:val="42"/>
              <w:rPr>
                <w:color w:val="000000" w:themeColor="text1"/>
                <w14:textFill>
                  <w14:solidFill>
                    <w14:schemeClr w14:val="tx1"/>
                  </w14:solidFill>
                </w14:textFill>
              </w:rPr>
            </w:pPr>
          </w:p>
        </w:tc>
        <w:tc>
          <w:tcPr>
            <w:tcW w:w="898" w:type="dxa"/>
            <w:vAlign w:val="center"/>
          </w:tcPr>
          <w:p w14:paraId="61FF7E3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地基基础</w:t>
            </w:r>
          </w:p>
        </w:tc>
        <w:tc>
          <w:tcPr>
            <w:tcW w:w="5580" w:type="dxa"/>
            <w:vAlign w:val="center"/>
          </w:tcPr>
          <w:p w14:paraId="755BBAF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）立杆基础不平、不实，或不符合专项施工方案要求，扣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49DAE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）未采取排水措施，或排水设施不完善，排水不畅通，扣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C4D27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）立杆底部未设置底座、垫板，或垫板的规格不符合标准要求，每处扣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319FAC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）底座松动或立杆悬空，每处扣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BE0A1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）当脚手架搭设在既有结构上时，未对既有结构的承载力进行验算，或未采取加固措施，扣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5E5C157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FD32111">
            <w:pPr>
              <w:pStyle w:val="42"/>
              <w:rPr>
                <w:color w:val="000000" w:themeColor="text1"/>
                <w14:textFill>
                  <w14:solidFill>
                    <w14:schemeClr w14:val="tx1"/>
                  </w14:solidFill>
                </w14:textFill>
              </w:rPr>
            </w:pPr>
          </w:p>
        </w:tc>
        <w:tc>
          <w:tcPr>
            <w:tcW w:w="720" w:type="dxa"/>
            <w:vAlign w:val="center"/>
          </w:tcPr>
          <w:p w14:paraId="1237A2DD">
            <w:pPr>
              <w:pStyle w:val="42"/>
              <w:rPr>
                <w:color w:val="000000" w:themeColor="text1"/>
                <w14:textFill>
                  <w14:solidFill>
                    <w14:schemeClr w14:val="tx1"/>
                  </w14:solidFill>
                </w14:textFill>
              </w:rPr>
            </w:pPr>
          </w:p>
        </w:tc>
      </w:tr>
      <w:tr w14:paraId="397FC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18097AE">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080B69C5">
            <w:pPr>
              <w:pStyle w:val="42"/>
              <w:rPr>
                <w:color w:val="000000" w:themeColor="text1"/>
                <w14:textFill>
                  <w14:solidFill>
                    <w14:schemeClr w14:val="tx1"/>
                  </w14:solidFill>
                </w14:textFill>
              </w:rPr>
            </w:pPr>
          </w:p>
        </w:tc>
        <w:tc>
          <w:tcPr>
            <w:tcW w:w="898" w:type="dxa"/>
            <w:vAlign w:val="center"/>
          </w:tcPr>
          <w:p w14:paraId="7D5BD34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架体搭设</w:t>
            </w:r>
          </w:p>
        </w:tc>
        <w:tc>
          <w:tcPr>
            <w:tcW w:w="5580" w:type="dxa"/>
            <w:vAlign w:val="center"/>
          </w:tcPr>
          <w:p w14:paraId="63884B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）立杆纵向、横向间距或水平杆步距大于标准或专项施工方案要求，每处扣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3E0355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）立杆垂直度不满足标准要求，每处扣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42D1B45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）纵向水平杆水平度或直线度不满足标准要求，每处扣</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w:t>
            </w:r>
          </w:p>
          <w:p w14:paraId="2EE45F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）纵向水平杆和扫地杆未连续设置，或主节点处的横向水平杆漏设，每处扣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763CC0C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）非主节点处的水平杆设置方向与脚手板的类型不匹配，或未按照专项施工方案规定的数量设置扣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54108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）门洞设置不符合标准的构造加强要求，扣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10D5A5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）脚手架与起重设备、混凝土输送管、模板支撑架、物料周转平台等设施相连接，扣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38C68E8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C6E7D22">
            <w:pPr>
              <w:pStyle w:val="42"/>
              <w:rPr>
                <w:color w:val="000000" w:themeColor="text1"/>
                <w14:textFill>
                  <w14:solidFill>
                    <w14:schemeClr w14:val="tx1"/>
                  </w14:solidFill>
                </w14:textFill>
              </w:rPr>
            </w:pPr>
          </w:p>
        </w:tc>
        <w:tc>
          <w:tcPr>
            <w:tcW w:w="720" w:type="dxa"/>
            <w:vAlign w:val="center"/>
          </w:tcPr>
          <w:p w14:paraId="40FCA429">
            <w:pPr>
              <w:pStyle w:val="42"/>
              <w:rPr>
                <w:color w:val="000000" w:themeColor="text1"/>
                <w14:textFill>
                  <w14:solidFill>
                    <w14:schemeClr w14:val="tx1"/>
                  </w14:solidFill>
                </w14:textFill>
              </w:rPr>
            </w:pPr>
          </w:p>
        </w:tc>
      </w:tr>
      <w:tr w14:paraId="6A72C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2F9EE015">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2108A962">
            <w:pPr>
              <w:pStyle w:val="42"/>
              <w:rPr>
                <w:color w:val="000000" w:themeColor="text1"/>
                <w14:textFill>
                  <w14:solidFill>
                    <w14:schemeClr w14:val="tx1"/>
                  </w14:solidFill>
                </w14:textFill>
              </w:rPr>
            </w:pPr>
          </w:p>
        </w:tc>
        <w:tc>
          <w:tcPr>
            <w:tcW w:w="898" w:type="dxa"/>
            <w:vAlign w:val="center"/>
          </w:tcPr>
          <w:p w14:paraId="4565C5F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架体稳定</w:t>
            </w:r>
          </w:p>
        </w:tc>
        <w:tc>
          <w:tcPr>
            <w:tcW w:w="5580" w:type="dxa"/>
            <w:vAlign w:val="center"/>
          </w:tcPr>
          <w:p w14:paraId="43F15A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）脚手架底部扫地杆离地间距超过标准要求，扣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637785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）未设置竖向和水平剪刀撑或专用斜撑杆，扣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分，设置的位置、数量、间距不符合方案要求，扣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992C1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）未设置连墙件，扣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分，连墙件设置的竖向和水平间距不符合标准和专项施工方案要求，扣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852CF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）连墙件未采用刚性杆件或拉结不牢固，扣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64C59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）连墙件或等效支撑件未从架体第一道水平杆处开始设置，扣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BA7F79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）竖向剪刀撑杆件与地面的夹角未在</w:t>
            </w:r>
            <w:r>
              <w:rPr>
                <w:color w:val="000000" w:themeColor="text1"/>
                <w14:textFill>
                  <w14:solidFill>
                    <w14:schemeClr w14:val="tx1"/>
                  </w14:solidFill>
                </w14:textFill>
              </w:rPr>
              <w:t>45°~60°</w:t>
            </w:r>
            <w:r>
              <w:rPr>
                <w:rFonts w:hint="eastAsia"/>
                <w:color w:val="000000" w:themeColor="text1"/>
                <w14:textFill>
                  <w14:solidFill>
                    <w14:schemeClr w14:val="tx1"/>
                  </w14:solidFill>
                </w14:textFill>
              </w:rPr>
              <w:t>之间，每处扣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31DAE53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32A0A02">
            <w:pPr>
              <w:pStyle w:val="42"/>
              <w:rPr>
                <w:color w:val="000000" w:themeColor="text1"/>
                <w14:textFill>
                  <w14:solidFill>
                    <w14:schemeClr w14:val="tx1"/>
                  </w14:solidFill>
                </w14:textFill>
              </w:rPr>
            </w:pPr>
          </w:p>
        </w:tc>
        <w:tc>
          <w:tcPr>
            <w:tcW w:w="720" w:type="dxa"/>
            <w:vAlign w:val="center"/>
          </w:tcPr>
          <w:p w14:paraId="2131D15A">
            <w:pPr>
              <w:pStyle w:val="42"/>
              <w:rPr>
                <w:color w:val="000000" w:themeColor="text1"/>
                <w14:textFill>
                  <w14:solidFill>
                    <w14:schemeClr w14:val="tx1"/>
                  </w14:solidFill>
                </w14:textFill>
              </w:rPr>
            </w:pPr>
          </w:p>
        </w:tc>
      </w:tr>
      <w:tr w14:paraId="2B00D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521BD8B">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78E3CDEF">
            <w:pPr>
              <w:pStyle w:val="42"/>
              <w:rPr>
                <w:color w:val="000000" w:themeColor="text1"/>
                <w14:textFill>
                  <w14:solidFill>
                    <w14:schemeClr w14:val="tx1"/>
                  </w14:solidFill>
                </w14:textFill>
              </w:rPr>
            </w:pPr>
          </w:p>
        </w:tc>
        <w:tc>
          <w:tcPr>
            <w:tcW w:w="898" w:type="dxa"/>
            <w:vAlign w:val="center"/>
          </w:tcPr>
          <w:p w14:paraId="00D0841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脚手板</w:t>
            </w:r>
          </w:p>
        </w:tc>
        <w:tc>
          <w:tcPr>
            <w:tcW w:w="5580" w:type="dxa"/>
            <w:vAlign w:val="center"/>
          </w:tcPr>
          <w:p w14:paraId="025832A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）脚手板材质、规格不符合标准要求，扣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873591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）作业层脚手板未铺满或铺设不牢、不稳，扣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487D5E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）采用工具式钢脚手板时，脚手板两端挂钩未通过自锁装置与作业层横向水平杆锁紧，每处扣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7EDE10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）采用木脚手板、竹串片脚手板、竹笆脚手板时，脚手板两端未与水平杆绑牢，或脚手板探头长度大于</w:t>
            </w:r>
            <w:r>
              <w:rPr>
                <w:color w:val="000000" w:themeColor="text1"/>
                <w14:textFill>
                  <w14:solidFill>
                    <w14:schemeClr w14:val="tx1"/>
                  </w14:solidFill>
                </w14:textFill>
              </w:rPr>
              <w:t>150mm</w:t>
            </w:r>
            <w:r>
              <w:rPr>
                <w:rFonts w:hint="eastAsia"/>
                <w:color w:val="000000" w:themeColor="text1"/>
                <w14:textFill>
                  <w14:solidFill>
                    <w14:schemeClr w14:val="tx1"/>
                  </w14:solidFill>
                </w14:textFill>
              </w:rPr>
              <w:t>，每处扣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05BB0EE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31FF7CF">
            <w:pPr>
              <w:pStyle w:val="42"/>
              <w:rPr>
                <w:color w:val="000000" w:themeColor="text1"/>
                <w14:textFill>
                  <w14:solidFill>
                    <w14:schemeClr w14:val="tx1"/>
                  </w14:solidFill>
                </w14:textFill>
              </w:rPr>
            </w:pPr>
          </w:p>
        </w:tc>
        <w:tc>
          <w:tcPr>
            <w:tcW w:w="720" w:type="dxa"/>
            <w:vAlign w:val="center"/>
          </w:tcPr>
          <w:p w14:paraId="2A32AF36">
            <w:pPr>
              <w:pStyle w:val="42"/>
              <w:rPr>
                <w:color w:val="000000" w:themeColor="text1"/>
                <w14:textFill>
                  <w14:solidFill>
                    <w14:schemeClr w14:val="tx1"/>
                  </w14:solidFill>
                </w14:textFill>
              </w:rPr>
            </w:pPr>
          </w:p>
        </w:tc>
      </w:tr>
      <w:tr w14:paraId="7137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32335F7">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1998F428">
            <w:pPr>
              <w:pStyle w:val="42"/>
              <w:rPr>
                <w:color w:val="000000" w:themeColor="text1"/>
                <w14:textFill>
                  <w14:solidFill>
                    <w14:schemeClr w14:val="tx1"/>
                  </w14:solidFill>
                </w14:textFill>
              </w:rPr>
            </w:pPr>
          </w:p>
        </w:tc>
        <w:tc>
          <w:tcPr>
            <w:tcW w:w="898" w:type="dxa"/>
            <w:vAlign w:val="center"/>
          </w:tcPr>
          <w:p w14:paraId="022D98C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75DD6F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）在原材料进场、基础完工、分段搭设、分段使用时未进行分阶段验收，或未形成记录，扣</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14:paraId="3F9FAAD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）在脚手架搭设完毕、投入使用前，未办理完工验收手续，扣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A6595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）完工验收未形成记录，或未经责任人签字确认，扣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CA7C77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）各阶段检查验收内容和指标未按标准要求进行量化，扣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BF7FE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40ADAED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45AA895">
            <w:pPr>
              <w:pStyle w:val="42"/>
              <w:rPr>
                <w:color w:val="000000" w:themeColor="text1"/>
                <w14:textFill>
                  <w14:solidFill>
                    <w14:schemeClr w14:val="tx1"/>
                  </w14:solidFill>
                </w14:textFill>
              </w:rPr>
            </w:pPr>
          </w:p>
        </w:tc>
        <w:tc>
          <w:tcPr>
            <w:tcW w:w="720" w:type="dxa"/>
            <w:vAlign w:val="center"/>
          </w:tcPr>
          <w:p w14:paraId="1E9F002D">
            <w:pPr>
              <w:pStyle w:val="42"/>
              <w:rPr>
                <w:color w:val="000000" w:themeColor="text1"/>
                <w14:textFill>
                  <w14:solidFill>
                    <w14:schemeClr w14:val="tx1"/>
                  </w14:solidFill>
                </w14:textFill>
              </w:rPr>
            </w:pPr>
          </w:p>
        </w:tc>
      </w:tr>
      <w:tr w14:paraId="6ABD3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5FCBB6B">
            <w:pPr>
              <w:pStyle w:val="42"/>
              <w:rPr>
                <w:color w:val="000000" w:themeColor="text1"/>
                <w14:textFill>
                  <w14:solidFill>
                    <w14:schemeClr w14:val="tx1"/>
                  </w14:solidFill>
                </w14:textFill>
              </w:rPr>
            </w:pPr>
          </w:p>
        </w:tc>
        <w:tc>
          <w:tcPr>
            <w:tcW w:w="543" w:type="dxa"/>
            <w:vMerge w:val="continue"/>
          </w:tcPr>
          <w:p w14:paraId="73810B5A">
            <w:pPr>
              <w:pStyle w:val="42"/>
              <w:rPr>
                <w:color w:val="000000" w:themeColor="text1"/>
                <w14:textFill>
                  <w14:solidFill>
                    <w14:schemeClr w14:val="tx1"/>
                  </w14:solidFill>
                </w14:textFill>
              </w:rPr>
            </w:pPr>
          </w:p>
        </w:tc>
        <w:tc>
          <w:tcPr>
            <w:tcW w:w="6478" w:type="dxa"/>
            <w:gridSpan w:val="2"/>
            <w:vAlign w:val="center"/>
          </w:tcPr>
          <w:p w14:paraId="60F33BCD">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3571CDE1">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7C527883">
            <w:pPr>
              <w:pStyle w:val="42"/>
              <w:rPr>
                <w:color w:val="000000" w:themeColor="text1"/>
                <w14:textFill>
                  <w14:solidFill>
                    <w14:schemeClr w14:val="tx1"/>
                  </w14:solidFill>
                </w14:textFill>
              </w:rPr>
            </w:pPr>
          </w:p>
        </w:tc>
        <w:tc>
          <w:tcPr>
            <w:tcW w:w="720" w:type="dxa"/>
            <w:vAlign w:val="center"/>
          </w:tcPr>
          <w:p w14:paraId="780A00D0">
            <w:pPr>
              <w:pStyle w:val="42"/>
              <w:rPr>
                <w:color w:val="000000" w:themeColor="text1"/>
                <w14:textFill>
                  <w14:solidFill>
                    <w14:schemeClr w14:val="tx1"/>
                  </w14:solidFill>
                </w14:textFill>
              </w:rPr>
            </w:pPr>
          </w:p>
        </w:tc>
      </w:tr>
      <w:tr w14:paraId="1ADC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44471A48">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7B509AA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55AABE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2056B9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0EE58FD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ED63F8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杆件连接</w:t>
            </w:r>
          </w:p>
        </w:tc>
        <w:tc>
          <w:tcPr>
            <w:tcW w:w="5580" w:type="dxa"/>
            <w:vAlign w:val="center"/>
          </w:tcPr>
          <w:p w14:paraId="345147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）节点组装时，扣件的扭紧力矩小于</w:t>
            </w:r>
            <w:r>
              <w:rPr>
                <w:color w:val="000000" w:themeColor="text1"/>
                <w14:textFill>
                  <w14:solidFill>
                    <w14:schemeClr w14:val="tx1"/>
                  </w14:solidFill>
                </w14:textFill>
              </w:rPr>
              <w:t>40</w:t>
            </w:r>
            <w:r>
              <w:rPr>
                <w:rFonts w:eastAsia="仿宋_GB2312"/>
                <w:color w:val="000000" w:themeColor="text1"/>
                <w:position w:val="-6"/>
                <w14:textFill>
                  <w14:solidFill>
                    <w14:schemeClr w14:val="tx1"/>
                  </w14:solidFill>
                </w14:textFill>
              </w:rPr>
              <w:object>
                <v:shape id="_x0000_i1025" o:spt="75" type="#_x0000_t75" style="height:11.2pt;width:20.55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r>
              <w:rPr>
                <w:rFonts w:hint="eastAsia"/>
                <w:color w:val="000000" w:themeColor="text1"/>
                <w14:textFill>
                  <w14:solidFill>
                    <w14:schemeClr w14:val="tx1"/>
                  </w14:solidFill>
                </w14:textFill>
              </w:rPr>
              <w:t>，碗扣节点未通过上碗扣和限位销锁紧水平杆，承插型盘扣式节点的插销未楔紧，每处扣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90528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）相邻立杆接头在同一步距内，每处扣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4D0987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）扣件式钢管脚手架的纵向水平杆搭接长度小于</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或固定不符合标准要求，每处扣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C4D90E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）扣件式钢管脚手架立杆除顶层顶步外采用搭接接长，每处扣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201F238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）剪刀撑杆件的接长不符合标准要求，每处扣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78BC51E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）专用斜撑杆的两端未固定在纵、横向水平杆与立杆交汇的节点处，每处扣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FB7F57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）钢管扣件剪刀撑杆件的连接点距离架体主节点大于</w:t>
            </w:r>
            <w:r>
              <w:rPr>
                <w:color w:val="000000" w:themeColor="text1"/>
                <w14:textFill>
                  <w14:solidFill>
                    <w14:schemeClr w14:val="tx1"/>
                  </w14:solidFill>
                </w14:textFill>
              </w:rPr>
              <w:t>150mm</w:t>
            </w:r>
            <w:r>
              <w:rPr>
                <w:rFonts w:hint="eastAsia"/>
                <w:color w:val="000000" w:themeColor="text1"/>
                <w14:textFill>
                  <w14:solidFill>
                    <w14:schemeClr w14:val="tx1"/>
                  </w14:solidFill>
                </w14:textFill>
              </w:rPr>
              <w:t>，每处扣</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w:t>
            </w:r>
          </w:p>
          <w:p w14:paraId="5438D5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）架体与连墙件的连接点距离架体主节点大于</w:t>
            </w:r>
            <w:r>
              <w:rPr>
                <w:color w:val="000000" w:themeColor="text1"/>
                <w14:textFill>
                  <w14:solidFill>
                    <w14:schemeClr w14:val="tx1"/>
                  </w14:solidFill>
                </w14:textFill>
              </w:rPr>
              <w:t>300mm</w:t>
            </w:r>
            <w:r>
              <w:rPr>
                <w:rFonts w:hint="eastAsia"/>
                <w:color w:val="000000" w:themeColor="text1"/>
                <w14:textFill>
                  <w14:solidFill>
                    <w14:schemeClr w14:val="tx1"/>
                  </w14:solidFill>
                </w14:textFill>
              </w:rPr>
              <w:t>，每处扣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4A57049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4E23983">
            <w:pPr>
              <w:pStyle w:val="42"/>
              <w:rPr>
                <w:color w:val="000000" w:themeColor="text1"/>
                <w14:textFill>
                  <w14:solidFill>
                    <w14:schemeClr w14:val="tx1"/>
                  </w14:solidFill>
                </w14:textFill>
              </w:rPr>
            </w:pPr>
          </w:p>
        </w:tc>
        <w:tc>
          <w:tcPr>
            <w:tcW w:w="720" w:type="dxa"/>
            <w:vAlign w:val="center"/>
          </w:tcPr>
          <w:p w14:paraId="1FE014F9">
            <w:pPr>
              <w:pStyle w:val="42"/>
              <w:rPr>
                <w:color w:val="000000" w:themeColor="text1"/>
                <w14:textFill>
                  <w14:solidFill>
                    <w14:schemeClr w14:val="tx1"/>
                  </w14:solidFill>
                </w14:textFill>
              </w:rPr>
            </w:pPr>
          </w:p>
        </w:tc>
      </w:tr>
      <w:tr w14:paraId="5F52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2927AA2">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FC49EF4">
            <w:pPr>
              <w:pStyle w:val="42"/>
              <w:rPr>
                <w:color w:val="000000" w:themeColor="text1"/>
                <w14:textFill>
                  <w14:solidFill>
                    <w14:schemeClr w14:val="tx1"/>
                  </w14:solidFill>
                </w14:textFill>
              </w:rPr>
            </w:pPr>
          </w:p>
        </w:tc>
        <w:tc>
          <w:tcPr>
            <w:tcW w:w="898" w:type="dxa"/>
            <w:vAlign w:val="center"/>
          </w:tcPr>
          <w:p w14:paraId="63CB2D0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4A039A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）架体作业层栏杆设置不符合标准要求，扣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B1E0C7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）作业层未在外立杆内侧设置高度不低于</w:t>
            </w:r>
            <w:r>
              <w:rPr>
                <w:color w:val="000000" w:themeColor="text1"/>
                <w14:textFill>
                  <w14:solidFill>
                    <w14:schemeClr w14:val="tx1"/>
                  </w14:solidFill>
                </w14:textFill>
              </w:rPr>
              <w:t>180mm</w:t>
            </w:r>
            <w:r>
              <w:rPr>
                <w:rFonts w:hint="eastAsia"/>
                <w:color w:val="000000" w:themeColor="text1"/>
                <w14:textFill>
                  <w14:solidFill>
                    <w14:schemeClr w14:val="tx1"/>
                  </w14:solidFill>
                </w14:textFill>
              </w:rPr>
              <w:t>的挡脚板，扣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17D2E61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）作业层脚手板下未采用安全平网兜底，或作业层以下每隔</w:t>
            </w:r>
            <w:r>
              <w:rPr>
                <w:color w:val="000000" w:themeColor="text1"/>
                <w14:textFill>
                  <w14:solidFill>
                    <w14:schemeClr w14:val="tx1"/>
                  </w14:solidFill>
                </w14:textFill>
              </w:rPr>
              <w:t>10m</w:t>
            </w:r>
            <w:r>
              <w:rPr>
                <w:rFonts w:hint="eastAsia"/>
                <w:color w:val="000000" w:themeColor="text1"/>
                <w14:textFill>
                  <w14:solidFill>
                    <w14:schemeClr w14:val="tx1"/>
                  </w14:solidFill>
                </w14:textFill>
              </w:rPr>
              <w:t>未采用安全平网封闭，扣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A64331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）作业层外侧未采用阻燃密目安全网进行封闭或网间连接不严密，扣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79E976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）当内立杆与建筑物距离大于</w:t>
            </w:r>
            <w:r>
              <w:rPr>
                <w:color w:val="000000" w:themeColor="text1"/>
                <w14:textFill>
                  <w14:solidFill>
                    <w14:schemeClr w14:val="tx1"/>
                  </w14:solidFill>
                </w14:textFill>
              </w:rPr>
              <w:t>150mm</w:t>
            </w:r>
            <w:r>
              <w:rPr>
                <w:rFonts w:hint="eastAsia"/>
                <w:color w:val="000000" w:themeColor="text1"/>
                <w14:textFill>
                  <w14:solidFill>
                    <w14:schemeClr w14:val="tx1"/>
                  </w14:solidFill>
                </w14:textFill>
              </w:rPr>
              <w:t>时，未采用脚手板或安全平网封闭，扣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B1DBDD0">
            <w:pPr>
              <w:pStyle w:val="42"/>
              <w:keepNext/>
              <w:keepLines/>
              <w:spacing w:before="260" w:after="260"/>
              <w:jc w:val="left"/>
              <w:outlineLvl w:val="2"/>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）架体未按标准要求设置供人员上下专用梯道或坡道，扣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04A8436">
            <w:pPr>
              <w:pStyle w:val="42"/>
              <w:keepNext/>
              <w:keepLines/>
              <w:spacing w:before="260" w:after="260"/>
              <w:outlineLvl w:val="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3DD76BF">
            <w:pPr>
              <w:pStyle w:val="42"/>
              <w:rPr>
                <w:color w:val="000000" w:themeColor="text1"/>
                <w14:textFill>
                  <w14:solidFill>
                    <w14:schemeClr w14:val="tx1"/>
                  </w14:solidFill>
                </w14:textFill>
              </w:rPr>
            </w:pPr>
          </w:p>
        </w:tc>
        <w:tc>
          <w:tcPr>
            <w:tcW w:w="720" w:type="dxa"/>
            <w:vAlign w:val="center"/>
          </w:tcPr>
          <w:p w14:paraId="433F8233">
            <w:pPr>
              <w:pStyle w:val="42"/>
              <w:rPr>
                <w:color w:val="000000" w:themeColor="text1"/>
                <w14:textFill>
                  <w14:solidFill>
                    <w14:schemeClr w14:val="tx1"/>
                  </w14:solidFill>
                </w14:textFill>
              </w:rPr>
            </w:pPr>
          </w:p>
        </w:tc>
      </w:tr>
      <w:tr w14:paraId="73E5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895186C">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74165A4E">
            <w:pPr>
              <w:pStyle w:val="42"/>
              <w:rPr>
                <w:color w:val="000000" w:themeColor="text1"/>
                <w14:textFill>
                  <w14:solidFill>
                    <w14:schemeClr w14:val="tx1"/>
                  </w14:solidFill>
                </w14:textFill>
              </w:rPr>
            </w:pPr>
          </w:p>
        </w:tc>
        <w:tc>
          <w:tcPr>
            <w:tcW w:w="898" w:type="dxa"/>
            <w:vAlign w:val="center"/>
          </w:tcPr>
          <w:p w14:paraId="24B7A38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使用与监测</w:t>
            </w:r>
          </w:p>
        </w:tc>
        <w:tc>
          <w:tcPr>
            <w:tcW w:w="5580" w:type="dxa"/>
            <w:vAlign w:val="center"/>
          </w:tcPr>
          <w:p w14:paraId="619291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）作业层施工均布荷载或集中荷载超过设计允许范围，</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3685E6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）荷载堆放不均匀，每处扣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43F48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）使用过程中，未经采取加固措施拆除构配件，扣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60A60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）使用过程中，未对地基排水性能、架体结构的完整性和连接牢固性、基础沉降、立杆垂直度和使用工况进行定期巡视检查与监测，或未形成记录，扣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725E9D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A60DFA4">
            <w:pPr>
              <w:pStyle w:val="42"/>
              <w:rPr>
                <w:color w:val="000000" w:themeColor="text1"/>
                <w14:textFill>
                  <w14:solidFill>
                    <w14:schemeClr w14:val="tx1"/>
                  </w14:solidFill>
                </w14:textFill>
              </w:rPr>
            </w:pPr>
          </w:p>
        </w:tc>
        <w:tc>
          <w:tcPr>
            <w:tcW w:w="720" w:type="dxa"/>
            <w:vAlign w:val="center"/>
          </w:tcPr>
          <w:p w14:paraId="6EB72026">
            <w:pPr>
              <w:pStyle w:val="42"/>
              <w:rPr>
                <w:color w:val="000000" w:themeColor="text1"/>
                <w14:textFill>
                  <w14:solidFill>
                    <w14:schemeClr w14:val="tx1"/>
                  </w14:solidFill>
                </w14:textFill>
              </w:rPr>
            </w:pPr>
          </w:p>
        </w:tc>
      </w:tr>
      <w:tr w14:paraId="10AF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6B90489">
            <w:pPr>
              <w:pStyle w:val="42"/>
              <w:rPr>
                <w:color w:val="000000" w:themeColor="text1"/>
                <w14:textFill>
                  <w14:solidFill>
                    <w14:schemeClr w14:val="tx1"/>
                  </w14:solidFill>
                </w14:textFill>
              </w:rPr>
            </w:pPr>
          </w:p>
        </w:tc>
        <w:tc>
          <w:tcPr>
            <w:tcW w:w="543" w:type="dxa"/>
            <w:vMerge w:val="continue"/>
          </w:tcPr>
          <w:p w14:paraId="1C1745C8">
            <w:pPr>
              <w:pStyle w:val="42"/>
              <w:rPr>
                <w:color w:val="000000" w:themeColor="text1"/>
                <w14:textFill>
                  <w14:solidFill>
                    <w14:schemeClr w14:val="tx1"/>
                  </w14:solidFill>
                </w14:textFill>
              </w:rPr>
            </w:pPr>
          </w:p>
        </w:tc>
        <w:tc>
          <w:tcPr>
            <w:tcW w:w="6478" w:type="dxa"/>
            <w:gridSpan w:val="2"/>
            <w:vAlign w:val="center"/>
          </w:tcPr>
          <w:p w14:paraId="60B54DAA">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0695B97">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12F942A1">
            <w:pPr>
              <w:pStyle w:val="42"/>
              <w:rPr>
                <w:color w:val="000000" w:themeColor="text1"/>
                <w14:textFill>
                  <w14:solidFill>
                    <w14:schemeClr w14:val="tx1"/>
                  </w14:solidFill>
                </w14:textFill>
              </w:rPr>
            </w:pPr>
          </w:p>
        </w:tc>
        <w:tc>
          <w:tcPr>
            <w:tcW w:w="720" w:type="dxa"/>
            <w:vAlign w:val="center"/>
          </w:tcPr>
          <w:p w14:paraId="78D5435A">
            <w:pPr>
              <w:pStyle w:val="42"/>
              <w:rPr>
                <w:color w:val="000000" w:themeColor="text1"/>
                <w14:textFill>
                  <w14:solidFill>
                    <w14:schemeClr w14:val="tx1"/>
                  </w14:solidFill>
                </w14:textFill>
              </w:rPr>
            </w:pPr>
          </w:p>
        </w:tc>
      </w:tr>
      <w:tr w14:paraId="76432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7B66C06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1F564B79">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20F65AAA">
            <w:pPr>
              <w:pStyle w:val="42"/>
              <w:rPr>
                <w:color w:val="000000" w:themeColor="text1"/>
                <w14:textFill>
                  <w14:solidFill>
                    <w14:schemeClr w14:val="tx1"/>
                  </w14:solidFill>
                </w14:textFill>
              </w:rPr>
            </w:pPr>
          </w:p>
        </w:tc>
        <w:tc>
          <w:tcPr>
            <w:tcW w:w="720" w:type="dxa"/>
            <w:vAlign w:val="center"/>
          </w:tcPr>
          <w:p w14:paraId="57B9FE04">
            <w:pPr>
              <w:pStyle w:val="42"/>
              <w:rPr>
                <w:color w:val="000000" w:themeColor="text1"/>
                <w14:textFill>
                  <w14:solidFill>
                    <w14:schemeClr w14:val="tx1"/>
                  </w14:solidFill>
                </w14:textFill>
              </w:rPr>
            </w:pPr>
          </w:p>
        </w:tc>
      </w:tr>
    </w:tbl>
    <w:p w14:paraId="6744571A">
      <w:pPr>
        <w:rPr>
          <w:color w:val="000000" w:themeColor="text1"/>
          <w14:textFill>
            <w14:solidFill>
              <w14:schemeClr w14:val="tx1"/>
            </w14:solidFill>
          </w14:textFill>
        </w:rPr>
      </w:pPr>
    </w:p>
    <w:p w14:paraId="03AB560C">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36" w:name="_Toc25822"/>
      <w:bookmarkStart w:id="37" w:name="_Toc28401"/>
      <w:bookmarkStart w:id="38" w:name="_Toc13157"/>
      <w:r>
        <w:rPr>
          <w:rFonts w:hint="eastAsia"/>
          <w:color w:val="000000" w:themeColor="text1"/>
          <w14:textFill>
            <w14:solidFill>
              <w14:schemeClr w14:val="tx1"/>
            </w14:solidFill>
          </w14:textFill>
        </w:rPr>
        <w:t>表1</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 xml:space="preserve">  钢管满堂脚手架检查</w:t>
      </w:r>
      <w:r>
        <w:rPr>
          <w:color w:val="000000" w:themeColor="text1"/>
          <w14:textFill>
            <w14:solidFill>
              <w14:schemeClr w14:val="tx1"/>
            </w14:solidFill>
          </w14:textFill>
        </w:rPr>
        <w:t>评分表</w:t>
      </w:r>
      <w:bookmarkEnd w:id="36"/>
      <w:bookmarkEnd w:id="37"/>
      <w:bookmarkEnd w:id="38"/>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0C76B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520A3D3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3CF21CC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165129F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092238F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1A3F5AC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772EB5FD">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6220F180">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0FC0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46CBA23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1CFAE24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040F5FC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559B1FF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48ACAF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00AC41F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5412D4F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1）未按规定编制专项施工方案，或架体结构</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立杆地基承载力未经设计计算，扣10分；方案编制内容不全或无针对性，扣2-5分</w:t>
            </w:r>
          </w:p>
          <w:p w14:paraId="0D1957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2）专项施工方案未按规定进行审核、审批，扣10分</w:t>
            </w:r>
          </w:p>
          <w:p w14:paraId="0899AD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3）专项施工方案实施前，未进行安全技术交底，扣10分；交底无针对性或无文字记录，扣2-5分</w:t>
            </w:r>
          </w:p>
        </w:tc>
        <w:tc>
          <w:tcPr>
            <w:tcW w:w="720" w:type="dxa"/>
            <w:vAlign w:val="center"/>
          </w:tcPr>
          <w:p w14:paraId="7E98F05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E058754">
            <w:pPr>
              <w:pStyle w:val="42"/>
              <w:rPr>
                <w:color w:val="000000" w:themeColor="text1"/>
                <w14:textFill>
                  <w14:solidFill>
                    <w14:schemeClr w14:val="tx1"/>
                  </w14:solidFill>
                </w14:textFill>
              </w:rPr>
            </w:pPr>
          </w:p>
        </w:tc>
        <w:tc>
          <w:tcPr>
            <w:tcW w:w="720" w:type="dxa"/>
            <w:vAlign w:val="center"/>
          </w:tcPr>
          <w:p w14:paraId="40BCBA16">
            <w:pPr>
              <w:pStyle w:val="42"/>
              <w:rPr>
                <w:color w:val="000000" w:themeColor="text1"/>
                <w14:textFill>
                  <w14:solidFill>
                    <w14:schemeClr w14:val="tx1"/>
                  </w14:solidFill>
                </w14:textFill>
              </w:rPr>
            </w:pPr>
          </w:p>
        </w:tc>
      </w:tr>
      <w:tr w14:paraId="62D5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4C4A7D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61C0CEB6">
            <w:pPr>
              <w:pStyle w:val="42"/>
              <w:rPr>
                <w:color w:val="000000" w:themeColor="text1"/>
                <w14:textFill>
                  <w14:solidFill>
                    <w14:schemeClr w14:val="tx1"/>
                  </w14:solidFill>
                </w14:textFill>
              </w:rPr>
            </w:pPr>
          </w:p>
        </w:tc>
        <w:tc>
          <w:tcPr>
            <w:tcW w:w="898" w:type="dxa"/>
            <w:vAlign w:val="center"/>
          </w:tcPr>
          <w:p w14:paraId="3872C4BC">
            <w:pPr>
              <w:pStyle w:val="42"/>
              <w:rPr>
                <w:color w:val="000000" w:themeColor="text1"/>
                <w14:textFill>
                  <w14:solidFill>
                    <w14:schemeClr w14:val="tx1"/>
                  </w14:solidFill>
                </w14:textFill>
              </w:rPr>
            </w:pPr>
            <w:r>
              <w:rPr>
                <w:color w:val="000000" w:themeColor="text1"/>
                <w14:textFill>
                  <w14:solidFill>
                    <w14:schemeClr w14:val="tx1"/>
                  </w14:solidFill>
                </w14:textFill>
              </w:rPr>
              <w:t>构配件材质</w:t>
            </w:r>
          </w:p>
        </w:tc>
        <w:tc>
          <w:tcPr>
            <w:tcW w:w="5580" w:type="dxa"/>
            <w:vAlign w:val="center"/>
          </w:tcPr>
          <w:p w14:paraId="60C65A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1）进场的钢管及构配件无质量合格证、产品性能检验报告，扣10分</w:t>
            </w:r>
          </w:p>
          <w:p w14:paraId="7C7870C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2）钢管及构配件的规格、型号、材质或产品质量不符合标准要求，扣5-10分</w:t>
            </w:r>
          </w:p>
          <w:p w14:paraId="6B1E3CD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3）钢管弯曲、变形、锈蚀严重，扣10分</w:t>
            </w:r>
          </w:p>
          <w:p w14:paraId="6C4011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4）焊缝不饱满或存在开焊，扣5分</w:t>
            </w:r>
          </w:p>
          <w:p w14:paraId="716E896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所采用的</w:t>
            </w:r>
            <w:r>
              <w:rPr>
                <w:color w:val="000000" w:themeColor="text1"/>
                <w14:textFill>
                  <w14:solidFill>
                    <w14:schemeClr w14:val="tx1"/>
                  </w14:solidFill>
                </w14:textFill>
              </w:rPr>
              <w:t>扣件未进行复试或技术性能不符合标准要求，扣5分</w:t>
            </w:r>
          </w:p>
        </w:tc>
        <w:tc>
          <w:tcPr>
            <w:tcW w:w="720" w:type="dxa"/>
            <w:vAlign w:val="center"/>
          </w:tcPr>
          <w:p w14:paraId="28F0011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D60AA8F">
            <w:pPr>
              <w:pStyle w:val="42"/>
              <w:rPr>
                <w:color w:val="000000" w:themeColor="text1"/>
                <w14:textFill>
                  <w14:solidFill>
                    <w14:schemeClr w14:val="tx1"/>
                  </w14:solidFill>
                </w14:textFill>
              </w:rPr>
            </w:pPr>
          </w:p>
        </w:tc>
        <w:tc>
          <w:tcPr>
            <w:tcW w:w="720" w:type="dxa"/>
            <w:vAlign w:val="center"/>
          </w:tcPr>
          <w:p w14:paraId="741B7C0C">
            <w:pPr>
              <w:pStyle w:val="42"/>
              <w:rPr>
                <w:color w:val="000000" w:themeColor="text1"/>
                <w14:textFill>
                  <w14:solidFill>
                    <w14:schemeClr w14:val="tx1"/>
                  </w14:solidFill>
                </w14:textFill>
              </w:rPr>
            </w:pPr>
          </w:p>
        </w:tc>
      </w:tr>
      <w:tr w14:paraId="346A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10080E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7537A816">
            <w:pPr>
              <w:pStyle w:val="42"/>
              <w:rPr>
                <w:color w:val="000000" w:themeColor="text1"/>
                <w14:textFill>
                  <w14:solidFill>
                    <w14:schemeClr w14:val="tx1"/>
                  </w14:solidFill>
                </w14:textFill>
              </w:rPr>
            </w:pPr>
          </w:p>
        </w:tc>
        <w:tc>
          <w:tcPr>
            <w:tcW w:w="898" w:type="dxa"/>
            <w:vAlign w:val="center"/>
          </w:tcPr>
          <w:p w14:paraId="256BA54E">
            <w:pPr>
              <w:pStyle w:val="42"/>
              <w:rPr>
                <w:color w:val="000000" w:themeColor="text1"/>
                <w14:textFill>
                  <w14:solidFill>
                    <w14:schemeClr w14:val="tx1"/>
                  </w14:solidFill>
                </w14:textFill>
              </w:rPr>
            </w:pPr>
            <w:r>
              <w:rPr>
                <w:color w:val="000000" w:themeColor="text1"/>
                <w14:textFill>
                  <w14:solidFill>
                    <w14:schemeClr w14:val="tx1"/>
                  </w14:solidFill>
                </w14:textFill>
              </w:rPr>
              <w:t>地基基础</w:t>
            </w:r>
          </w:p>
        </w:tc>
        <w:tc>
          <w:tcPr>
            <w:tcW w:w="5580" w:type="dxa"/>
            <w:vAlign w:val="center"/>
          </w:tcPr>
          <w:p w14:paraId="61BABD1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1）立杆基础不平、不实，或不符合专项施工方案要求，扣5-10分</w:t>
            </w:r>
          </w:p>
          <w:p w14:paraId="53B4F30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2）未采取排水措施，或排水设施不完善，排水不畅通，扣5-10分</w:t>
            </w:r>
          </w:p>
          <w:p w14:paraId="2BE7AD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3）立杆底部未设置底座、垫板，或垫板的规格不符合标准要求，每处扣2分</w:t>
            </w:r>
          </w:p>
          <w:p w14:paraId="3D688E3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）底座松动或立杆悬空，每处扣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492AC6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）当脚手架搭设在既有结构上时，未对既有结构的承载力进行验算，或未采取加固措施，扣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6588D2B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1FE7DC7F">
            <w:pPr>
              <w:pStyle w:val="42"/>
              <w:rPr>
                <w:color w:val="000000" w:themeColor="text1"/>
                <w14:textFill>
                  <w14:solidFill>
                    <w14:schemeClr w14:val="tx1"/>
                  </w14:solidFill>
                </w14:textFill>
              </w:rPr>
            </w:pPr>
          </w:p>
        </w:tc>
        <w:tc>
          <w:tcPr>
            <w:tcW w:w="720" w:type="dxa"/>
            <w:vAlign w:val="center"/>
          </w:tcPr>
          <w:p w14:paraId="6B4D67AC">
            <w:pPr>
              <w:pStyle w:val="42"/>
              <w:rPr>
                <w:color w:val="000000" w:themeColor="text1"/>
                <w14:textFill>
                  <w14:solidFill>
                    <w14:schemeClr w14:val="tx1"/>
                  </w14:solidFill>
                </w14:textFill>
              </w:rPr>
            </w:pPr>
          </w:p>
        </w:tc>
      </w:tr>
      <w:tr w14:paraId="0A89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F82057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361BFEFC">
            <w:pPr>
              <w:pStyle w:val="42"/>
              <w:rPr>
                <w:color w:val="000000" w:themeColor="text1"/>
                <w14:textFill>
                  <w14:solidFill>
                    <w14:schemeClr w14:val="tx1"/>
                  </w14:solidFill>
                </w14:textFill>
              </w:rPr>
            </w:pPr>
          </w:p>
        </w:tc>
        <w:tc>
          <w:tcPr>
            <w:tcW w:w="898" w:type="dxa"/>
            <w:vAlign w:val="center"/>
          </w:tcPr>
          <w:p w14:paraId="2054372A">
            <w:pPr>
              <w:pStyle w:val="42"/>
              <w:rPr>
                <w:color w:val="000000" w:themeColor="text1"/>
                <w14:textFill>
                  <w14:solidFill>
                    <w14:schemeClr w14:val="tx1"/>
                  </w14:solidFill>
                </w14:textFill>
              </w:rPr>
            </w:pPr>
            <w:r>
              <w:rPr>
                <w:color w:val="000000" w:themeColor="text1"/>
                <w14:textFill>
                  <w14:solidFill>
                    <w14:schemeClr w14:val="tx1"/>
                  </w14:solidFill>
                </w14:textFill>
              </w:rPr>
              <w:t>架体</w:t>
            </w:r>
            <w:r>
              <w:rPr>
                <w:rFonts w:hint="eastAsia"/>
                <w:color w:val="000000" w:themeColor="text1"/>
                <w14:textFill>
                  <w14:solidFill>
                    <w14:schemeClr w14:val="tx1"/>
                  </w14:solidFill>
                </w14:textFill>
              </w:rPr>
              <w:t>稳定</w:t>
            </w:r>
          </w:p>
        </w:tc>
        <w:tc>
          <w:tcPr>
            <w:tcW w:w="5580" w:type="dxa"/>
            <w:vAlign w:val="center"/>
          </w:tcPr>
          <w:p w14:paraId="2D749E1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1）脚手架底部扫地杆离地间距超过标准要求，扣5分</w:t>
            </w:r>
          </w:p>
          <w:p w14:paraId="5972C6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）架体四周与中间未按标准要求设置竖向剪刀撑或专用斜撑杆，扣10分</w:t>
            </w:r>
          </w:p>
          <w:p w14:paraId="33AC25F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）未按标准要求设置水平剪刀撑或水平斜撑杆，扣10分</w:t>
            </w:r>
          </w:p>
          <w:p w14:paraId="61B2D3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）架体高宽比超过标准要求时未采取与结构拉结或其他可靠的稳定措施，扣10分</w:t>
            </w:r>
          </w:p>
        </w:tc>
        <w:tc>
          <w:tcPr>
            <w:tcW w:w="720" w:type="dxa"/>
            <w:vAlign w:val="center"/>
          </w:tcPr>
          <w:p w14:paraId="7FAE8BB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F65CEB6">
            <w:pPr>
              <w:pStyle w:val="42"/>
              <w:rPr>
                <w:color w:val="000000" w:themeColor="text1"/>
                <w14:textFill>
                  <w14:solidFill>
                    <w14:schemeClr w14:val="tx1"/>
                  </w14:solidFill>
                </w14:textFill>
              </w:rPr>
            </w:pPr>
          </w:p>
        </w:tc>
        <w:tc>
          <w:tcPr>
            <w:tcW w:w="720" w:type="dxa"/>
            <w:vAlign w:val="center"/>
          </w:tcPr>
          <w:p w14:paraId="1E904F3F">
            <w:pPr>
              <w:pStyle w:val="42"/>
              <w:rPr>
                <w:color w:val="000000" w:themeColor="text1"/>
                <w14:textFill>
                  <w14:solidFill>
                    <w14:schemeClr w14:val="tx1"/>
                  </w14:solidFill>
                </w14:textFill>
              </w:rPr>
            </w:pPr>
          </w:p>
        </w:tc>
      </w:tr>
      <w:tr w14:paraId="103E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349CC5B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0F09F8E5">
            <w:pPr>
              <w:pStyle w:val="42"/>
              <w:rPr>
                <w:color w:val="000000" w:themeColor="text1"/>
                <w14:textFill>
                  <w14:solidFill>
                    <w14:schemeClr w14:val="tx1"/>
                  </w14:solidFill>
                </w14:textFill>
              </w:rPr>
            </w:pPr>
          </w:p>
        </w:tc>
        <w:tc>
          <w:tcPr>
            <w:tcW w:w="898" w:type="dxa"/>
            <w:vAlign w:val="center"/>
          </w:tcPr>
          <w:p w14:paraId="555EF93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杆件锁定</w:t>
            </w:r>
          </w:p>
        </w:tc>
        <w:tc>
          <w:tcPr>
            <w:tcW w:w="5580" w:type="dxa"/>
            <w:vAlign w:val="center"/>
          </w:tcPr>
          <w:p w14:paraId="4ABB526B">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1）架体立杆间距、水平杆步距超过标准及</w:t>
            </w:r>
            <w:r>
              <w:rPr>
                <w:color w:val="000000" w:themeColor="text1"/>
                <w14:textFill>
                  <w14:solidFill>
                    <w14:schemeClr w14:val="tx1"/>
                  </w14:solidFill>
                </w14:textFill>
              </w:rPr>
              <w:t>专项施工方案</w:t>
            </w:r>
            <w:r>
              <w:rPr>
                <w:rFonts w:hint="eastAsia"/>
                <w:color w:val="000000" w:themeColor="text1"/>
                <w14:textFill>
                  <w14:solidFill>
                    <w14:schemeClr w14:val="tx1"/>
                  </w14:solidFill>
                </w14:textFill>
              </w:rPr>
              <w:t>要求，每处扣2分</w:t>
            </w:r>
          </w:p>
          <w:p w14:paraId="66727BE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2）水平杆</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扫地杆未连续贯通设置，每</w:t>
            </w:r>
            <w:r>
              <w:rPr>
                <w:rFonts w:hint="eastAsia"/>
                <w:color w:val="000000" w:themeColor="text1"/>
                <w14:textFill>
                  <w14:solidFill>
                    <w14:schemeClr w14:val="tx1"/>
                  </w14:solidFill>
                </w14:textFill>
              </w:rPr>
              <w:t>漏设一处</w:t>
            </w:r>
            <w:r>
              <w:rPr>
                <w:color w:val="000000" w:themeColor="text1"/>
                <w14:textFill>
                  <w14:solidFill>
                    <w14:schemeClr w14:val="tx1"/>
                  </w14:solidFill>
                </w14:textFill>
              </w:rPr>
              <w:t>扣2分</w:t>
            </w:r>
          </w:p>
          <w:p w14:paraId="62109F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）杆件接长不符合要求，每处扣2分</w:t>
            </w:r>
          </w:p>
          <w:p w14:paraId="62CE76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）架体搭设不牢或杆件节点紧固不符合要求，每处扣2分</w:t>
            </w:r>
          </w:p>
        </w:tc>
        <w:tc>
          <w:tcPr>
            <w:tcW w:w="720" w:type="dxa"/>
            <w:vAlign w:val="center"/>
          </w:tcPr>
          <w:p w14:paraId="722556E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36791DE">
            <w:pPr>
              <w:pStyle w:val="42"/>
              <w:rPr>
                <w:color w:val="000000" w:themeColor="text1"/>
                <w14:textFill>
                  <w14:solidFill>
                    <w14:schemeClr w14:val="tx1"/>
                  </w14:solidFill>
                </w14:textFill>
              </w:rPr>
            </w:pPr>
          </w:p>
        </w:tc>
        <w:tc>
          <w:tcPr>
            <w:tcW w:w="720" w:type="dxa"/>
            <w:vAlign w:val="center"/>
          </w:tcPr>
          <w:p w14:paraId="5127436E">
            <w:pPr>
              <w:pStyle w:val="42"/>
              <w:rPr>
                <w:color w:val="000000" w:themeColor="text1"/>
                <w14:textFill>
                  <w14:solidFill>
                    <w14:schemeClr w14:val="tx1"/>
                  </w14:solidFill>
                </w14:textFill>
              </w:rPr>
            </w:pPr>
          </w:p>
        </w:tc>
      </w:tr>
      <w:tr w14:paraId="3BE8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736151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78D0F32D">
            <w:pPr>
              <w:pStyle w:val="42"/>
              <w:rPr>
                <w:color w:val="000000" w:themeColor="text1"/>
                <w14:textFill>
                  <w14:solidFill>
                    <w14:schemeClr w14:val="tx1"/>
                  </w14:solidFill>
                </w14:textFill>
              </w:rPr>
            </w:pPr>
          </w:p>
        </w:tc>
        <w:tc>
          <w:tcPr>
            <w:tcW w:w="898" w:type="dxa"/>
            <w:vAlign w:val="center"/>
          </w:tcPr>
          <w:p w14:paraId="1C2FEF6A">
            <w:pPr>
              <w:pStyle w:val="42"/>
              <w:rPr>
                <w:color w:val="000000" w:themeColor="text1"/>
                <w14:textFill>
                  <w14:solidFill>
                    <w14:schemeClr w14:val="tx1"/>
                  </w14:solidFill>
                </w14:textFill>
              </w:rPr>
            </w:pPr>
            <w:r>
              <w:rPr>
                <w:color w:val="000000" w:themeColor="text1"/>
                <w14:textFill>
                  <w14:solidFill>
                    <w14:schemeClr w14:val="tx1"/>
                  </w14:solidFill>
                </w14:textFill>
              </w:rPr>
              <w:t>脚手板</w:t>
            </w:r>
          </w:p>
        </w:tc>
        <w:tc>
          <w:tcPr>
            <w:tcW w:w="5580" w:type="dxa"/>
            <w:vAlign w:val="center"/>
          </w:tcPr>
          <w:p w14:paraId="4E85CCC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1）脚手板材质、规格不符合标准要求，扣5-10分</w:t>
            </w:r>
          </w:p>
          <w:p w14:paraId="679D785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2）作业层脚手板未铺满或铺设不牢、不稳，扣5-10分</w:t>
            </w:r>
          </w:p>
          <w:p w14:paraId="7803EC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3）采用工具式钢脚手板时，脚手板两端挂钩未通过自锁装置与作业层横向水平杆锁紧，每处扣2分</w:t>
            </w:r>
          </w:p>
          <w:p w14:paraId="3C05F3B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4）采用木脚手板、竹串片脚手板、竹笆脚手板时，脚手板两端未与水平杆绑牢，或脚手板探头长度大于150mm，每处扣2分</w:t>
            </w:r>
          </w:p>
        </w:tc>
        <w:tc>
          <w:tcPr>
            <w:tcW w:w="720" w:type="dxa"/>
            <w:vAlign w:val="center"/>
          </w:tcPr>
          <w:p w14:paraId="3671C37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CE1B1A2">
            <w:pPr>
              <w:pStyle w:val="42"/>
              <w:rPr>
                <w:color w:val="000000" w:themeColor="text1"/>
                <w14:textFill>
                  <w14:solidFill>
                    <w14:schemeClr w14:val="tx1"/>
                  </w14:solidFill>
                </w14:textFill>
              </w:rPr>
            </w:pPr>
          </w:p>
        </w:tc>
        <w:tc>
          <w:tcPr>
            <w:tcW w:w="720" w:type="dxa"/>
            <w:vAlign w:val="center"/>
          </w:tcPr>
          <w:p w14:paraId="1BFC6F5D">
            <w:pPr>
              <w:pStyle w:val="42"/>
              <w:rPr>
                <w:color w:val="000000" w:themeColor="text1"/>
                <w14:textFill>
                  <w14:solidFill>
                    <w14:schemeClr w14:val="tx1"/>
                  </w14:solidFill>
                </w14:textFill>
              </w:rPr>
            </w:pPr>
          </w:p>
        </w:tc>
      </w:tr>
      <w:tr w14:paraId="6F850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D99711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43" w:type="dxa"/>
            <w:vMerge w:val="continue"/>
            <w:vAlign w:val="center"/>
          </w:tcPr>
          <w:p w14:paraId="523EB7EC">
            <w:pPr>
              <w:pStyle w:val="42"/>
              <w:rPr>
                <w:color w:val="000000" w:themeColor="text1"/>
                <w14:textFill>
                  <w14:solidFill>
                    <w14:schemeClr w14:val="tx1"/>
                  </w14:solidFill>
                </w14:textFill>
              </w:rPr>
            </w:pPr>
          </w:p>
        </w:tc>
        <w:tc>
          <w:tcPr>
            <w:tcW w:w="898" w:type="dxa"/>
            <w:vAlign w:val="center"/>
          </w:tcPr>
          <w:p w14:paraId="303A0FC3">
            <w:pPr>
              <w:pStyle w:val="42"/>
              <w:rPr>
                <w:color w:val="000000" w:themeColor="text1"/>
                <w14:textFill>
                  <w14:solidFill>
                    <w14:schemeClr w14:val="tx1"/>
                  </w14:solidFill>
                </w14:textFill>
              </w:rPr>
            </w:pPr>
            <w:r>
              <w:rPr>
                <w:color w:val="000000" w:themeColor="text1"/>
                <w14:textFill>
                  <w14:solidFill>
                    <w14:schemeClr w14:val="tx1"/>
                  </w14:solidFill>
                </w14:textFill>
              </w:rPr>
              <w:t>检查验收</w:t>
            </w:r>
          </w:p>
        </w:tc>
        <w:tc>
          <w:tcPr>
            <w:tcW w:w="5580" w:type="dxa"/>
            <w:vAlign w:val="center"/>
          </w:tcPr>
          <w:p w14:paraId="4E0D16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1）在原材料进场、基础完工、分段搭设、分段使用时未进行</w:t>
            </w:r>
            <w:r>
              <w:rPr>
                <w:rFonts w:hint="eastAsia"/>
                <w:color w:val="000000" w:themeColor="text1"/>
                <w14:textFill>
                  <w14:solidFill>
                    <w14:schemeClr w14:val="tx1"/>
                  </w14:solidFill>
                </w14:textFill>
              </w:rPr>
              <w:t>分阶段</w:t>
            </w:r>
            <w:r>
              <w:rPr>
                <w:color w:val="000000" w:themeColor="text1"/>
                <w14:textFill>
                  <w14:solidFill>
                    <w14:schemeClr w14:val="tx1"/>
                  </w14:solidFill>
                </w14:textFill>
              </w:rPr>
              <w:t>验收，</w:t>
            </w:r>
            <w:r>
              <w:rPr>
                <w:rFonts w:hint="eastAsia"/>
                <w:color w:val="000000" w:themeColor="text1"/>
                <w14:textFill>
                  <w14:solidFill>
                    <w14:schemeClr w14:val="tx1"/>
                  </w14:solidFill>
                </w14:textFill>
              </w:rPr>
              <w:t>或未形成记录，</w:t>
            </w:r>
            <w:r>
              <w:rPr>
                <w:color w:val="000000" w:themeColor="text1"/>
                <w14:textFill>
                  <w14:solidFill>
                    <w14:schemeClr w14:val="tx1"/>
                  </w14:solidFill>
                </w14:textFill>
              </w:rPr>
              <w:t>扣6分</w:t>
            </w:r>
          </w:p>
          <w:p w14:paraId="785D42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2）在脚手架搭设完毕、投入使用前，未办理完工验收手续，扣10分</w:t>
            </w:r>
          </w:p>
          <w:p w14:paraId="7D63EA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3）完工验收未形成记录，或未经责任人签字确认，扣5分</w:t>
            </w:r>
          </w:p>
          <w:p w14:paraId="56F5BD1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4）各阶段检查验收内容和指标未按标准要求进行量化，扣5分</w:t>
            </w:r>
          </w:p>
          <w:p w14:paraId="23C41F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5）验收合格后未在明显位置悬挂验收合格牌，扣3分</w:t>
            </w:r>
          </w:p>
        </w:tc>
        <w:tc>
          <w:tcPr>
            <w:tcW w:w="720" w:type="dxa"/>
            <w:vAlign w:val="center"/>
          </w:tcPr>
          <w:p w14:paraId="0747E73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6E572605">
            <w:pPr>
              <w:pStyle w:val="42"/>
              <w:rPr>
                <w:color w:val="000000" w:themeColor="text1"/>
                <w14:textFill>
                  <w14:solidFill>
                    <w14:schemeClr w14:val="tx1"/>
                  </w14:solidFill>
                </w14:textFill>
              </w:rPr>
            </w:pPr>
          </w:p>
        </w:tc>
        <w:tc>
          <w:tcPr>
            <w:tcW w:w="720" w:type="dxa"/>
            <w:vAlign w:val="center"/>
          </w:tcPr>
          <w:p w14:paraId="2DE6E203">
            <w:pPr>
              <w:pStyle w:val="42"/>
              <w:rPr>
                <w:color w:val="000000" w:themeColor="text1"/>
                <w14:textFill>
                  <w14:solidFill>
                    <w14:schemeClr w14:val="tx1"/>
                  </w14:solidFill>
                </w14:textFill>
              </w:rPr>
            </w:pPr>
          </w:p>
        </w:tc>
      </w:tr>
      <w:tr w14:paraId="095E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595E07D">
            <w:pPr>
              <w:pStyle w:val="42"/>
              <w:rPr>
                <w:color w:val="000000" w:themeColor="text1"/>
                <w14:textFill>
                  <w14:solidFill>
                    <w14:schemeClr w14:val="tx1"/>
                  </w14:solidFill>
                </w14:textFill>
              </w:rPr>
            </w:pPr>
          </w:p>
        </w:tc>
        <w:tc>
          <w:tcPr>
            <w:tcW w:w="543" w:type="dxa"/>
            <w:vMerge w:val="continue"/>
          </w:tcPr>
          <w:p w14:paraId="7E495108">
            <w:pPr>
              <w:pStyle w:val="42"/>
              <w:rPr>
                <w:color w:val="000000" w:themeColor="text1"/>
                <w14:textFill>
                  <w14:solidFill>
                    <w14:schemeClr w14:val="tx1"/>
                  </w14:solidFill>
                </w14:textFill>
              </w:rPr>
            </w:pPr>
          </w:p>
        </w:tc>
        <w:tc>
          <w:tcPr>
            <w:tcW w:w="6478" w:type="dxa"/>
            <w:gridSpan w:val="2"/>
            <w:vAlign w:val="center"/>
          </w:tcPr>
          <w:p w14:paraId="39F764B5">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04940D9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05A4F885">
            <w:pPr>
              <w:pStyle w:val="42"/>
              <w:rPr>
                <w:color w:val="000000" w:themeColor="text1"/>
                <w14:textFill>
                  <w14:solidFill>
                    <w14:schemeClr w14:val="tx1"/>
                  </w14:solidFill>
                </w14:textFill>
              </w:rPr>
            </w:pPr>
          </w:p>
        </w:tc>
        <w:tc>
          <w:tcPr>
            <w:tcW w:w="720" w:type="dxa"/>
            <w:vAlign w:val="center"/>
          </w:tcPr>
          <w:p w14:paraId="2B98908A">
            <w:pPr>
              <w:pStyle w:val="42"/>
              <w:rPr>
                <w:color w:val="000000" w:themeColor="text1"/>
                <w14:textFill>
                  <w14:solidFill>
                    <w14:schemeClr w14:val="tx1"/>
                  </w14:solidFill>
                </w14:textFill>
              </w:rPr>
            </w:pPr>
          </w:p>
        </w:tc>
      </w:tr>
      <w:tr w14:paraId="4E484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2C2344C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5E42908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2022618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2DE87D3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68F91F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E9CB98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架体防护</w:t>
            </w:r>
          </w:p>
        </w:tc>
        <w:tc>
          <w:tcPr>
            <w:tcW w:w="5580" w:type="dxa"/>
            <w:vAlign w:val="center"/>
          </w:tcPr>
          <w:p w14:paraId="58B988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1）架体作业层</w:t>
            </w:r>
            <w:r>
              <w:rPr>
                <w:rFonts w:hint="eastAsia"/>
                <w:color w:val="000000" w:themeColor="text1"/>
                <w14:textFill>
                  <w14:solidFill>
                    <w14:schemeClr w14:val="tx1"/>
                  </w14:solidFill>
                </w14:textFill>
              </w:rPr>
              <w:t>栏杆设置不符合标准要求</w:t>
            </w:r>
            <w:r>
              <w:rPr>
                <w:color w:val="000000" w:themeColor="text1"/>
                <w14:textFill>
                  <w14:solidFill>
                    <w14:schemeClr w14:val="tx1"/>
                  </w14:solidFill>
                </w14:textFill>
              </w:rPr>
              <w:t>，扣5分</w:t>
            </w:r>
          </w:p>
          <w:p w14:paraId="3C7470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2）作业层未在外立杆内侧设置高度不低于180mm的挡脚板，扣3分</w:t>
            </w:r>
          </w:p>
          <w:p w14:paraId="67D308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3）作业层脚手板下未采用安全平网兜底，或作业层以下每隔10m未采用安全平网封闭，扣5分</w:t>
            </w:r>
          </w:p>
          <w:p w14:paraId="6D8CCC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4）作业层外侧未采用阻燃密目安全网进行封闭或网间连接不严密，扣5-10分</w:t>
            </w:r>
          </w:p>
        </w:tc>
        <w:tc>
          <w:tcPr>
            <w:tcW w:w="720" w:type="dxa"/>
            <w:vAlign w:val="center"/>
          </w:tcPr>
          <w:p w14:paraId="6F7F092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76B3428">
            <w:pPr>
              <w:pStyle w:val="42"/>
              <w:rPr>
                <w:color w:val="000000" w:themeColor="text1"/>
                <w14:textFill>
                  <w14:solidFill>
                    <w14:schemeClr w14:val="tx1"/>
                  </w14:solidFill>
                </w14:textFill>
              </w:rPr>
            </w:pPr>
          </w:p>
        </w:tc>
        <w:tc>
          <w:tcPr>
            <w:tcW w:w="720" w:type="dxa"/>
            <w:vAlign w:val="center"/>
          </w:tcPr>
          <w:p w14:paraId="1FF97669">
            <w:pPr>
              <w:pStyle w:val="42"/>
              <w:rPr>
                <w:color w:val="000000" w:themeColor="text1"/>
                <w14:textFill>
                  <w14:solidFill>
                    <w14:schemeClr w14:val="tx1"/>
                  </w14:solidFill>
                </w14:textFill>
              </w:rPr>
            </w:pPr>
          </w:p>
        </w:tc>
      </w:tr>
      <w:tr w14:paraId="7290A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6F05C1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11E9D1B7">
            <w:pPr>
              <w:pStyle w:val="42"/>
              <w:rPr>
                <w:color w:val="000000" w:themeColor="text1"/>
                <w14:textFill>
                  <w14:solidFill>
                    <w14:schemeClr w14:val="tx1"/>
                  </w14:solidFill>
                </w14:textFill>
              </w:rPr>
            </w:pPr>
          </w:p>
        </w:tc>
        <w:tc>
          <w:tcPr>
            <w:tcW w:w="898" w:type="dxa"/>
            <w:vAlign w:val="center"/>
          </w:tcPr>
          <w:p w14:paraId="0F39851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荷载</w:t>
            </w:r>
          </w:p>
        </w:tc>
        <w:tc>
          <w:tcPr>
            <w:tcW w:w="5580" w:type="dxa"/>
            <w:vAlign w:val="center"/>
          </w:tcPr>
          <w:p w14:paraId="164295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1）作业层施工均布荷载超过设计允许范围，10分</w:t>
            </w:r>
          </w:p>
          <w:p w14:paraId="07B7A2C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2）荷载堆放不均匀，每处扣5分</w:t>
            </w:r>
          </w:p>
        </w:tc>
        <w:tc>
          <w:tcPr>
            <w:tcW w:w="720" w:type="dxa"/>
            <w:vAlign w:val="center"/>
          </w:tcPr>
          <w:p w14:paraId="7E846EA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C8B3CFD">
            <w:pPr>
              <w:pStyle w:val="42"/>
              <w:rPr>
                <w:color w:val="000000" w:themeColor="text1"/>
                <w14:textFill>
                  <w14:solidFill>
                    <w14:schemeClr w14:val="tx1"/>
                  </w14:solidFill>
                </w14:textFill>
              </w:rPr>
            </w:pPr>
          </w:p>
        </w:tc>
        <w:tc>
          <w:tcPr>
            <w:tcW w:w="720" w:type="dxa"/>
            <w:vAlign w:val="center"/>
          </w:tcPr>
          <w:p w14:paraId="3E2F1CB2">
            <w:pPr>
              <w:pStyle w:val="42"/>
              <w:rPr>
                <w:color w:val="000000" w:themeColor="text1"/>
                <w14:textFill>
                  <w14:solidFill>
                    <w14:schemeClr w14:val="tx1"/>
                  </w14:solidFill>
                </w14:textFill>
              </w:rPr>
            </w:pPr>
          </w:p>
        </w:tc>
      </w:tr>
      <w:tr w14:paraId="0D1B9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633612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4A734658">
            <w:pPr>
              <w:pStyle w:val="42"/>
              <w:rPr>
                <w:color w:val="000000" w:themeColor="text1"/>
                <w14:textFill>
                  <w14:solidFill>
                    <w14:schemeClr w14:val="tx1"/>
                  </w14:solidFill>
                </w14:textFill>
              </w:rPr>
            </w:pPr>
          </w:p>
        </w:tc>
        <w:tc>
          <w:tcPr>
            <w:tcW w:w="898" w:type="dxa"/>
            <w:vAlign w:val="center"/>
          </w:tcPr>
          <w:p w14:paraId="2106BCB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通道</w:t>
            </w:r>
          </w:p>
        </w:tc>
        <w:tc>
          <w:tcPr>
            <w:tcW w:w="5580" w:type="dxa"/>
            <w:vAlign w:val="center"/>
          </w:tcPr>
          <w:p w14:paraId="3E68EBC9">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1）未设置人员上下专用通道，扣10分</w:t>
            </w:r>
          </w:p>
          <w:p w14:paraId="2FA46B5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2）通道设置不符合要求，扣5分</w:t>
            </w:r>
          </w:p>
        </w:tc>
        <w:tc>
          <w:tcPr>
            <w:tcW w:w="720" w:type="dxa"/>
            <w:vAlign w:val="center"/>
          </w:tcPr>
          <w:p w14:paraId="637D213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373D5E1">
            <w:pPr>
              <w:pStyle w:val="42"/>
              <w:rPr>
                <w:color w:val="000000" w:themeColor="text1"/>
                <w14:textFill>
                  <w14:solidFill>
                    <w14:schemeClr w14:val="tx1"/>
                  </w14:solidFill>
                </w14:textFill>
              </w:rPr>
            </w:pPr>
          </w:p>
        </w:tc>
        <w:tc>
          <w:tcPr>
            <w:tcW w:w="720" w:type="dxa"/>
            <w:vAlign w:val="center"/>
          </w:tcPr>
          <w:p w14:paraId="1B626925">
            <w:pPr>
              <w:pStyle w:val="42"/>
              <w:rPr>
                <w:color w:val="000000" w:themeColor="text1"/>
                <w14:textFill>
                  <w14:solidFill>
                    <w14:schemeClr w14:val="tx1"/>
                  </w14:solidFill>
                </w14:textFill>
              </w:rPr>
            </w:pPr>
          </w:p>
        </w:tc>
      </w:tr>
      <w:tr w14:paraId="7B94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570B3B7">
            <w:pPr>
              <w:pStyle w:val="42"/>
              <w:rPr>
                <w:color w:val="000000" w:themeColor="text1"/>
                <w14:textFill>
                  <w14:solidFill>
                    <w14:schemeClr w14:val="tx1"/>
                  </w14:solidFill>
                </w14:textFill>
              </w:rPr>
            </w:pPr>
          </w:p>
        </w:tc>
        <w:tc>
          <w:tcPr>
            <w:tcW w:w="543" w:type="dxa"/>
            <w:vMerge w:val="continue"/>
          </w:tcPr>
          <w:p w14:paraId="011998E6">
            <w:pPr>
              <w:pStyle w:val="42"/>
              <w:rPr>
                <w:color w:val="000000" w:themeColor="text1"/>
                <w14:textFill>
                  <w14:solidFill>
                    <w14:schemeClr w14:val="tx1"/>
                  </w14:solidFill>
                </w14:textFill>
              </w:rPr>
            </w:pPr>
          </w:p>
        </w:tc>
        <w:tc>
          <w:tcPr>
            <w:tcW w:w="6478" w:type="dxa"/>
            <w:gridSpan w:val="2"/>
            <w:vAlign w:val="center"/>
          </w:tcPr>
          <w:p w14:paraId="5AFD80D0">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D9415E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7CC2DC20">
            <w:pPr>
              <w:pStyle w:val="42"/>
              <w:rPr>
                <w:color w:val="000000" w:themeColor="text1"/>
                <w14:textFill>
                  <w14:solidFill>
                    <w14:schemeClr w14:val="tx1"/>
                  </w14:solidFill>
                </w14:textFill>
              </w:rPr>
            </w:pPr>
          </w:p>
        </w:tc>
        <w:tc>
          <w:tcPr>
            <w:tcW w:w="720" w:type="dxa"/>
            <w:vAlign w:val="center"/>
          </w:tcPr>
          <w:p w14:paraId="36B71048">
            <w:pPr>
              <w:pStyle w:val="42"/>
              <w:rPr>
                <w:color w:val="000000" w:themeColor="text1"/>
                <w14:textFill>
                  <w14:solidFill>
                    <w14:schemeClr w14:val="tx1"/>
                  </w14:solidFill>
                </w14:textFill>
              </w:rPr>
            </w:pPr>
          </w:p>
        </w:tc>
      </w:tr>
      <w:tr w14:paraId="3B66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3F70B37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50C1F27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58B8B346">
            <w:pPr>
              <w:pStyle w:val="42"/>
              <w:rPr>
                <w:color w:val="000000" w:themeColor="text1"/>
                <w14:textFill>
                  <w14:solidFill>
                    <w14:schemeClr w14:val="tx1"/>
                  </w14:solidFill>
                </w14:textFill>
              </w:rPr>
            </w:pPr>
          </w:p>
        </w:tc>
        <w:tc>
          <w:tcPr>
            <w:tcW w:w="720" w:type="dxa"/>
            <w:vAlign w:val="center"/>
          </w:tcPr>
          <w:p w14:paraId="3B04D38B">
            <w:pPr>
              <w:pStyle w:val="42"/>
              <w:rPr>
                <w:color w:val="000000" w:themeColor="text1"/>
                <w14:textFill>
                  <w14:solidFill>
                    <w14:schemeClr w14:val="tx1"/>
                  </w14:solidFill>
                </w14:textFill>
              </w:rPr>
            </w:pPr>
          </w:p>
        </w:tc>
      </w:tr>
    </w:tbl>
    <w:p w14:paraId="6349D2E6">
      <w:pPr>
        <w:rPr>
          <w:color w:val="000000" w:themeColor="text1"/>
          <w14:textFill>
            <w14:solidFill>
              <w14:schemeClr w14:val="tx1"/>
            </w14:solidFill>
          </w14:textFill>
        </w:rPr>
      </w:pPr>
    </w:p>
    <w:p w14:paraId="14A6344B">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39" w:name="_Toc6698"/>
      <w:bookmarkStart w:id="40" w:name="_Toc23616"/>
      <w:bookmarkStart w:id="41" w:name="_Toc31445"/>
      <w:r>
        <w:rPr>
          <w:rFonts w:hint="eastAsia"/>
          <w:color w:val="000000" w:themeColor="text1"/>
          <w14:textFill>
            <w14:solidFill>
              <w14:schemeClr w14:val="tx1"/>
            </w14:solidFill>
          </w14:textFill>
        </w:rPr>
        <w:t>表13  高处作业吊篮检查</w:t>
      </w:r>
      <w:r>
        <w:rPr>
          <w:color w:val="000000" w:themeColor="text1"/>
          <w14:textFill>
            <w14:solidFill>
              <w14:schemeClr w14:val="tx1"/>
            </w14:solidFill>
          </w14:textFill>
        </w:rPr>
        <w:t>评分表</w:t>
      </w:r>
      <w:bookmarkEnd w:id="39"/>
      <w:bookmarkEnd w:id="40"/>
      <w:bookmarkEnd w:id="41"/>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F71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5495AD4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33EBB66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4ACB3AD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1B23C39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6333DC5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69CA6B1D">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A5A71EE">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34179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60E76F5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5298638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5715F7A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3D5E1A3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7A735E6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19FA93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56D1A2B6">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1）未编制专项施工方案或未对吊篮支架支撑处结构的承载力进行验算，扣1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w:t>
            </w:r>
          </w:p>
          <w:p w14:paraId="29F8F62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2）专项施工方案未按规定审核、审批，扣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61FB7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）特殊结构施工的非标准吊篮未进行设计计算，扣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A95611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44E4137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50EA473">
            <w:pPr>
              <w:pStyle w:val="42"/>
              <w:rPr>
                <w:color w:val="000000" w:themeColor="text1"/>
                <w14:textFill>
                  <w14:solidFill>
                    <w14:schemeClr w14:val="tx1"/>
                  </w14:solidFill>
                </w14:textFill>
              </w:rPr>
            </w:pPr>
          </w:p>
        </w:tc>
        <w:tc>
          <w:tcPr>
            <w:tcW w:w="720" w:type="dxa"/>
            <w:vAlign w:val="center"/>
          </w:tcPr>
          <w:p w14:paraId="4C8E51E6">
            <w:pPr>
              <w:pStyle w:val="42"/>
              <w:rPr>
                <w:color w:val="000000" w:themeColor="text1"/>
                <w14:textFill>
                  <w14:solidFill>
                    <w14:schemeClr w14:val="tx1"/>
                  </w14:solidFill>
                </w14:textFill>
              </w:rPr>
            </w:pPr>
          </w:p>
        </w:tc>
      </w:tr>
      <w:tr w14:paraId="1A53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3C2FAF0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01120777">
            <w:pPr>
              <w:pStyle w:val="42"/>
              <w:rPr>
                <w:color w:val="000000" w:themeColor="text1"/>
                <w14:textFill>
                  <w14:solidFill>
                    <w14:schemeClr w14:val="tx1"/>
                  </w14:solidFill>
                </w14:textFill>
              </w:rPr>
            </w:pPr>
          </w:p>
        </w:tc>
        <w:tc>
          <w:tcPr>
            <w:tcW w:w="898" w:type="dxa"/>
            <w:vAlign w:val="center"/>
          </w:tcPr>
          <w:p w14:paraId="5FA85A2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安全装置</w:t>
            </w:r>
          </w:p>
        </w:tc>
        <w:tc>
          <w:tcPr>
            <w:tcW w:w="5580" w:type="dxa"/>
            <w:vAlign w:val="center"/>
          </w:tcPr>
          <w:p w14:paraId="007C9137">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1）未安装防坠安全锁或不</w:t>
            </w:r>
            <w:r>
              <w:rPr>
                <w:color w:val="000000" w:themeColor="text1"/>
                <w14:textFill>
                  <w14:solidFill>
                    <w14:schemeClr w14:val="tx1"/>
                  </w14:solidFill>
                </w14:textFill>
              </w:rPr>
              <w:t>灵敏</w:t>
            </w:r>
            <w:r>
              <w:rPr>
                <w:rFonts w:hint="eastAsia"/>
                <w:color w:val="000000" w:themeColor="text1"/>
                <w14:textFill>
                  <w14:solidFill>
                    <w14:schemeClr w14:val="tx1"/>
                  </w14:solidFill>
                </w14:textFill>
              </w:rPr>
              <w:t>，扣1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w:t>
            </w:r>
          </w:p>
          <w:p w14:paraId="7A5C85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）使用</w:t>
            </w:r>
            <w:r>
              <w:rPr>
                <w:color w:val="000000" w:themeColor="text1"/>
                <w14:textFill>
                  <w14:solidFill>
                    <w14:schemeClr w14:val="tx1"/>
                  </w14:solidFill>
                </w14:textFill>
              </w:rPr>
              <w:t>中</w:t>
            </w:r>
            <w:r>
              <w:rPr>
                <w:rFonts w:hint="eastAsia"/>
                <w:color w:val="000000" w:themeColor="text1"/>
                <w14:textFill>
                  <w14:solidFill>
                    <w14:schemeClr w14:val="tx1"/>
                  </w14:solidFill>
                </w14:textFill>
              </w:rPr>
              <w:t>的防坠安全锁超过标定期限，扣1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w:t>
            </w:r>
          </w:p>
          <w:p w14:paraId="608465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）未设置挂设安全带专用安全绳及安全锁扣或安全绳未固定在结构物可靠位置，扣1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w:t>
            </w:r>
          </w:p>
          <w:p w14:paraId="459CF4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）未安装上限位装置或不灵敏，扣1</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分</w:t>
            </w:r>
          </w:p>
        </w:tc>
        <w:tc>
          <w:tcPr>
            <w:tcW w:w="720" w:type="dxa"/>
            <w:vAlign w:val="center"/>
          </w:tcPr>
          <w:p w14:paraId="31A7DBC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6EF829B">
            <w:pPr>
              <w:pStyle w:val="42"/>
              <w:rPr>
                <w:color w:val="000000" w:themeColor="text1"/>
                <w14:textFill>
                  <w14:solidFill>
                    <w14:schemeClr w14:val="tx1"/>
                  </w14:solidFill>
                </w14:textFill>
              </w:rPr>
            </w:pPr>
          </w:p>
        </w:tc>
        <w:tc>
          <w:tcPr>
            <w:tcW w:w="720" w:type="dxa"/>
            <w:vAlign w:val="center"/>
          </w:tcPr>
          <w:p w14:paraId="17171610">
            <w:pPr>
              <w:pStyle w:val="42"/>
              <w:rPr>
                <w:color w:val="000000" w:themeColor="text1"/>
                <w14:textFill>
                  <w14:solidFill>
                    <w14:schemeClr w14:val="tx1"/>
                  </w14:solidFill>
                </w14:textFill>
              </w:rPr>
            </w:pPr>
          </w:p>
        </w:tc>
      </w:tr>
      <w:tr w14:paraId="0D4B2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313949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3FD257A0">
            <w:pPr>
              <w:pStyle w:val="42"/>
              <w:rPr>
                <w:color w:val="000000" w:themeColor="text1"/>
                <w14:textFill>
                  <w14:solidFill>
                    <w14:schemeClr w14:val="tx1"/>
                  </w14:solidFill>
                </w14:textFill>
              </w:rPr>
            </w:pPr>
          </w:p>
        </w:tc>
        <w:tc>
          <w:tcPr>
            <w:tcW w:w="898" w:type="dxa"/>
            <w:vAlign w:val="center"/>
          </w:tcPr>
          <w:p w14:paraId="4F05112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悬挂机构</w:t>
            </w:r>
          </w:p>
        </w:tc>
        <w:tc>
          <w:tcPr>
            <w:tcW w:w="5580" w:type="dxa"/>
            <w:vAlign w:val="center"/>
          </w:tcPr>
          <w:p w14:paraId="69CA10A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）悬挂机构前支架支撑在非承重结构上，扣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7C97D1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2）悬挂机构的荷载由预埋件承受时，预埋件的安全系数不小于3，</w:t>
            </w:r>
            <w:r>
              <w:rPr>
                <w:color w:val="000000" w:themeColor="text1"/>
                <w14:textFill>
                  <w14:solidFill>
                    <w14:schemeClr w14:val="tx1"/>
                  </w14:solidFill>
                </w14:textFill>
              </w:rPr>
              <w:t>扣</w:t>
            </w:r>
            <w:r>
              <w:rPr>
                <w:rFonts w:hint="eastAsia"/>
                <w:color w:val="000000" w:themeColor="text1"/>
                <w14:textFill>
                  <w14:solidFill>
                    <w14:schemeClr w14:val="tx1"/>
                  </w14:solidFill>
                </w14:textFill>
              </w:rPr>
              <w:t>10分</w:t>
            </w:r>
          </w:p>
          <w:p w14:paraId="21B4A44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前梁外伸长度和中梁长度配比、使用高度不符合产品说明书或吊篮设计要求，扣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70047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)前支架与支撑面不垂直或脚轮受力，扣10分</w:t>
            </w:r>
          </w:p>
          <w:p w14:paraId="7A99CB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)上支架未固定在前支架调节杆与悬挑梁连接的节点处，扣5分</w:t>
            </w:r>
          </w:p>
          <w:p w14:paraId="601C4FB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)使用破损的配重块或采用其他替代物，扣10分</w:t>
            </w:r>
          </w:p>
          <w:p w14:paraId="3CF8E8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)配重块未固定，或重量不符合使用说明书</w:t>
            </w:r>
            <w:r>
              <w:rPr>
                <w:color w:val="000000" w:themeColor="text1"/>
                <w14:textFill>
                  <w14:solidFill>
                    <w14:schemeClr w14:val="tx1"/>
                  </w14:solidFill>
                </w14:textFill>
              </w:rPr>
              <w:t>或吊篮</w:t>
            </w:r>
            <w:r>
              <w:rPr>
                <w:rFonts w:hint="eastAsia"/>
                <w:color w:val="000000" w:themeColor="text1"/>
                <w14:textFill>
                  <w14:solidFill>
                    <w14:schemeClr w14:val="tx1"/>
                  </w14:solidFill>
                </w14:textFill>
              </w:rPr>
              <w:t>设计要求，扣10分</w:t>
            </w:r>
          </w:p>
        </w:tc>
        <w:tc>
          <w:tcPr>
            <w:tcW w:w="720" w:type="dxa"/>
            <w:vAlign w:val="center"/>
          </w:tcPr>
          <w:p w14:paraId="3E92CE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443B237D">
            <w:pPr>
              <w:pStyle w:val="42"/>
              <w:rPr>
                <w:color w:val="000000" w:themeColor="text1"/>
                <w14:textFill>
                  <w14:solidFill>
                    <w14:schemeClr w14:val="tx1"/>
                  </w14:solidFill>
                </w14:textFill>
              </w:rPr>
            </w:pPr>
          </w:p>
        </w:tc>
        <w:tc>
          <w:tcPr>
            <w:tcW w:w="720" w:type="dxa"/>
            <w:vAlign w:val="center"/>
          </w:tcPr>
          <w:p w14:paraId="2207CBCB">
            <w:pPr>
              <w:pStyle w:val="42"/>
              <w:rPr>
                <w:color w:val="000000" w:themeColor="text1"/>
                <w14:textFill>
                  <w14:solidFill>
                    <w14:schemeClr w14:val="tx1"/>
                  </w14:solidFill>
                </w14:textFill>
              </w:rPr>
            </w:pPr>
          </w:p>
        </w:tc>
      </w:tr>
      <w:tr w14:paraId="3F5A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F2CE4C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465B3246">
            <w:pPr>
              <w:pStyle w:val="42"/>
              <w:rPr>
                <w:color w:val="000000" w:themeColor="text1"/>
                <w14:textFill>
                  <w14:solidFill>
                    <w14:schemeClr w14:val="tx1"/>
                  </w14:solidFill>
                </w14:textFill>
              </w:rPr>
            </w:pPr>
          </w:p>
        </w:tc>
        <w:tc>
          <w:tcPr>
            <w:tcW w:w="898" w:type="dxa"/>
            <w:vAlign w:val="center"/>
          </w:tcPr>
          <w:p w14:paraId="49B58E0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钢丝绳</w:t>
            </w:r>
          </w:p>
        </w:tc>
        <w:tc>
          <w:tcPr>
            <w:tcW w:w="5580" w:type="dxa"/>
            <w:vAlign w:val="center"/>
          </w:tcPr>
          <w:p w14:paraId="3366D095">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钢丝绳磨损、断丝、变形、锈蚀达到报废标准，扣10分</w:t>
            </w:r>
          </w:p>
          <w:p w14:paraId="0EBEB9D9">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2）安全钢丝绳未独立悬挂或其规格、型号与工作钢丝绳不相同，扣10分</w:t>
            </w:r>
          </w:p>
          <w:p w14:paraId="1BE347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钢丝绳端部绳夹设置不符合相关标准要求，扣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A07E0A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）安全绳未处于悬垂状态，扣5分</w:t>
            </w:r>
          </w:p>
          <w:p w14:paraId="642A3F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电焊作业时未对钢丝绳采取保护措施，扣5分</w:t>
            </w:r>
          </w:p>
        </w:tc>
        <w:tc>
          <w:tcPr>
            <w:tcW w:w="720" w:type="dxa"/>
            <w:vAlign w:val="center"/>
          </w:tcPr>
          <w:p w14:paraId="68D39C9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6828424E">
            <w:pPr>
              <w:pStyle w:val="42"/>
              <w:rPr>
                <w:color w:val="000000" w:themeColor="text1"/>
                <w14:textFill>
                  <w14:solidFill>
                    <w14:schemeClr w14:val="tx1"/>
                  </w14:solidFill>
                </w14:textFill>
              </w:rPr>
            </w:pPr>
          </w:p>
        </w:tc>
        <w:tc>
          <w:tcPr>
            <w:tcW w:w="720" w:type="dxa"/>
            <w:vAlign w:val="center"/>
          </w:tcPr>
          <w:p w14:paraId="3EC6D145">
            <w:pPr>
              <w:pStyle w:val="42"/>
              <w:rPr>
                <w:color w:val="000000" w:themeColor="text1"/>
                <w14:textFill>
                  <w14:solidFill>
                    <w14:schemeClr w14:val="tx1"/>
                  </w14:solidFill>
                </w14:textFill>
              </w:rPr>
            </w:pPr>
          </w:p>
        </w:tc>
      </w:tr>
      <w:tr w14:paraId="1351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6172136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5E683C75">
            <w:pPr>
              <w:pStyle w:val="42"/>
              <w:rPr>
                <w:color w:val="000000" w:themeColor="text1"/>
                <w14:textFill>
                  <w14:solidFill>
                    <w14:schemeClr w14:val="tx1"/>
                  </w14:solidFill>
                </w14:textFill>
              </w:rPr>
            </w:pPr>
          </w:p>
        </w:tc>
        <w:tc>
          <w:tcPr>
            <w:tcW w:w="898" w:type="dxa"/>
            <w:vAlign w:val="center"/>
          </w:tcPr>
          <w:p w14:paraId="17C30D6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悬吊平台</w:t>
            </w:r>
          </w:p>
        </w:tc>
        <w:tc>
          <w:tcPr>
            <w:tcW w:w="5580" w:type="dxa"/>
            <w:vAlign w:val="center"/>
          </w:tcPr>
          <w:p w14:paraId="2E003B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）悬吊平台出现焊缝开裂、螺栓铆钉松动、变形过大等现象，扣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43E92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）悬吊平台的组装长度不符合产品说明书或吊篮设计要求，扣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02D033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）悬吊平台无导向装置或缓冲装置，扣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62463F4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AA3CED9">
            <w:pPr>
              <w:pStyle w:val="42"/>
              <w:rPr>
                <w:color w:val="000000" w:themeColor="text1"/>
                <w14:textFill>
                  <w14:solidFill>
                    <w14:schemeClr w14:val="tx1"/>
                  </w14:solidFill>
                </w14:textFill>
              </w:rPr>
            </w:pPr>
          </w:p>
        </w:tc>
        <w:tc>
          <w:tcPr>
            <w:tcW w:w="720" w:type="dxa"/>
            <w:vAlign w:val="center"/>
          </w:tcPr>
          <w:p w14:paraId="27D75B78">
            <w:pPr>
              <w:pStyle w:val="42"/>
              <w:rPr>
                <w:color w:val="000000" w:themeColor="text1"/>
                <w14:textFill>
                  <w14:solidFill>
                    <w14:schemeClr w14:val="tx1"/>
                  </w14:solidFill>
                </w14:textFill>
              </w:rPr>
            </w:pPr>
          </w:p>
        </w:tc>
      </w:tr>
      <w:tr w14:paraId="31D4F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54290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589FB4AE">
            <w:pPr>
              <w:pStyle w:val="42"/>
              <w:rPr>
                <w:color w:val="000000" w:themeColor="text1"/>
                <w14:textFill>
                  <w14:solidFill>
                    <w14:schemeClr w14:val="tx1"/>
                  </w14:solidFill>
                </w14:textFill>
              </w:rPr>
            </w:pPr>
          </w:p>
        </w:tc>
        <w:tc>
          <w:tcPr>
            <w:tcW w:w="898" w:type="dxa"/>
            <w:vAlign w:val="center"/>
          </w:tcPr>
          <w:p w14:paraId="5DB2E04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安装、</w:t>
            </w:r>
            <w:r>
              <w:rPr>
                <w:color w:val="000000" w:themeColor="text1"/>
                <w14:textFill>
                  <w14:solidFill>
                    <w14:schemeClr w14:val="tx1"/>
                  </w14:solidFill>
                </w14:textFill>
              </w:rPr>
              <w:t>拆卸</w:t>
            </w:r>
            <w:r>
              <w:rPr>
                <w:rFonts w:hint="eastAsia"/>
                <w:color w:val="000000" w:themeColor="text1"/>
                <w14:textFill>
                  <w14:solidFill>
                    <w14:schemeClr w14:val="tx1"/>
                  </w14:solidFill>
                </w14:textFill>
              </w:rPr>
              <w:t>作业</w:t>
            </w:r>
          </w:p>
        </w:tc>
        <w:tc>
          <w:tcPr>
            <w:tcW w:w="5580" w:type="dxa"/>
            <w:vAlign w:val="center"/>
          </w:tcPr>
          <w:p w14:paraId="6C37AA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）安装、拆卸人员未取得特种作业资格证书，扣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C30D8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）吊篮组装采用的构配件不是同一生产厂家的产品，扣10分</w:t>
            </w:r>
          </w:p>
          <w:p w14:paraId="4D14B58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）吊篮拆卸分解后的构配件放置在结构物边缘，扣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429AA6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）未对拆卸后构配件采取防止坠落的措施，或将其从高处抛下，扣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823CCB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）吊篮维修、拆卸作业时未设置警戒区及警示牌，扣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23A222F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FD8FE72">
            <w:pPr>
              <w:pStyle w:val="42"/>
              <w:rPr>
                <w:color w:val="000000" w:themeColor="text1"/>
                <w14:textFill>
                  <w14:solidFill>
                    <w14:schemeClr w14:val="tx1"/>
                  </w14:solidFill>
                </w14:textFill>
              </w:rPr>
            </w:pPr>
          </w:p>
        </w:tc>
        <w:tc>
          <w:tcPr>
            <w:tcW w:w="720" w:type="dxa"/>
            <w:vAlign w:val="center"/>
          </w:tcPr>
          <w:p w14:paraId="74B2B084">
            <w:pPr>
              <w:pStyle w:val="42"/>
              <w:rPr>
                <w:color w:val="000000" w:themeColor="text1"/>
                <w14:textFill>
                  <w14:solidFill>
                    <w14:schemeClr w14:val="tx1"/>
                  </w14:solidFill>
                </w14:textFill>
              </w:rPr>
            </w:pPr>
          </w:p>
        </w:tc>
      </w:tr>
      <w:tr w14:paraId="0951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912E4F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43" w:type="dxa"/>
            <w:vMerge w:val="continue"/>
            <w:vAlign w:val="center"/>
          </w:tcPr>
          <w:p w14:paraId="76C0CB5E">
            <w:pPr>
              <w:pStyle w:val="42"/>
              <w:rPr>
                <w:color w:val="000000" w:themeColor="text1"/>
                <w14:textFill>
                  <w14:solidFill>
                    <w14:schemeClr w14:val="tx1"/>
                  </w14:solidFill>
                </w14:textFill>
              </w:rPr>
            </w:pPr>
          </w:p>
        </w:tc>
        <w:tc>
          <w:tcPr>
            <w:tcW w:w="898" w:type="dxa"/>
            <w:vAlign w:val="center"/>
          </w:tcPr>
          <w:p w14:paraId="02F639D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升降作业</w:t>
            </w:r>
          </w:p>
        </w:tc>
        <w:tc>
          <w:tcPr>
            <w:tcW w:w="5580" w:type="dxa"/>
            <w:vAlign w:val="center"/>
          </w:tcPr>
          <w:p w14:paraId="64929F0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1）操作升降人员未经培训合格，扣10分</w:t>
            </w:r>
          </w:p>
          <w:p w14:paraId="2123ED8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）吊篮内作业人员数量超过产品说明书或吊篮设计要求，扣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BA031B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3）吊篮内作业人员未将安全带用安全锁扣挂置在独立设置的专用安全绳上，扣10分</w:t>
            </w:r>
          </w:p>
          <w:p w14:paraId="666108C8">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4）作业人员未从地面进出吊篮，扣5分</w:t>
            </w:r>
          </w:p>
          <w:p w14:paraId="40940F6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吊篮下方站人，扣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3010DC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5F770A19">
            <w:pPr>
              <w:pStyle w:val="42"/>
              <w:rPr>
                <w:color w:val="000000" w:themeColor="text1"/>
                <w14:textFill>
                  <w14:solidFill>
                    <w14:schemeClr w14:val="tx1"/>
                  </w14:solidFill>
                </w14:textFill>
              </w:rPr>
            </w:pPr>
          </w:p>
        </w:tc>
        <w:tc>
          <w:tcPr>
            <w:tcW w:w="720" w:type="dxa"/>
            <w:vAlign w:val="center"/>
          </w:tcPr>
          <w:p w14:paraId="5EC4AC76">
            <w:pPr>
              <w:pStyle w:val="42"/>
              <w:rPr>
                <w:color w:val="000000" w:themeColor="text1"/>
                <w14:textFill>
                  <w14:solidFill>
                    <w14:schemeClr w14:val="tx1"/>
                  </w14:solidFill>
                </w14:textFill>
              </w:rPr>
            </w:pPr>
          </w:p>
        </w:tc>
      </w:tr>
      <w:tr w14:paraId="3B03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947491F">
            <w:pPr>
              <w:pStyle w:val="42"/>
              <w:rPr>
                <w:color w:val="000000" w:themeColor="text1"/>
                <w14:textFill>
                  <w14:solidFill>
                    <w14:schemeClr w14:val="tx1"/>
                  </w14:solidFill>
                </w14:textFill>
              </w:rPr>
            </w:pPr>
          </w:p>
        </w:tc>
        <w:tc>
          <w:tcPr>
            <w:tcW w:w="543" w:type="dxa"/>
            <w:vMerge w:val="continue"/>
          </w:tcPr>
          <w:p w14:paraId="22B9991D">
            <w:pPr>
              <w:pStyle w:val="42"/>
              <w:rPr>
                <w:color w:val="000000" w:themeColor="text1"/>
                <w14:textFill>
                  <w14:solidFill>
                    <w14:schemeClr w14:val="tx1"/>
                  </w14:solidFill>
                </w14:textFill>
              </w:rPr>
            </w:pPr>
          </w:p>
        </w:tc>
        <w:tc>
          <w:tcPr>
            <w:tcW w:w="6478" w:type="dxa"/>
            <w:gridSpan w:val="2"/>
            <w:vAlign w:val="center"/>
          </w:tcPr>
          <w:p w14:paraId="049AF905">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71FCD6B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12CCC481">
            <w:pPr>
              <w:pStyle w:val="42"/>
              <w:rPr>
                <w:color w:val="000000" w:themeColor="text1"/>
                <w14:textFill>
                  <w14:solidFill>
                    <w14:schemeClr w14:val="tx1"/>
                  </w14:solidFill>
                </w14:textFill>
              </w:rPr>
            </w:pPr>
          </w:p>
        </w:tc>
        <w:tc>
          <w:tcPr>
            <w:tcW w:w="720" w:type="dxa"/>
            <w:vAlign w:val="center"/>
          </w:tcPr>
          <w:p w14:paraId="0563D61A">
            <w:pPr>
              <w:pStyle w:val="42"/>
              <w:rPr>
                <w:color w:val="000000" w:themeColor="text1"/>
                <w14:textFill>
                  <w14:solidFill>
                    <w14:schemeClr w14:val="tx1"/>
                  </w14:solidFill>
                </w14:textFill>
              </w:rPr>
            </w:pPr>
          </w:p>
        </w:tc>
      </w:tr>
      <w:tr w14:paraId="4FB5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0890E4C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54AF508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0ED232F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3DF181E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0F3F92A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09276C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6DCD2D3E">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1)未履行验收程序或未经责任人签字确认，扣10分</w:t>
            </w:r>
          </w:p>
          <w:p w14:paraId="0BD183DF">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2)验收内容未进行量化，扣5分</w:t>
            </w:r>
          </w:p>
          <w:p w14:paraId="2606D0C0">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3)每天班前班后未进行检查，扣5分</w:t>
            </w:r>
          </w:p>
        </w:tc>
        <w:tc>
          <w:tcPr>
            <w:tcW w:w="720" w:type="dxa"/>
            <w:vAlign w:val="center"/>
          </w:tcPr>
          <w:p w14:paraId="4128081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D2B999D">
            <w:pPr>
              <w:pStyle w:val="42"/>
              <w:rPr>
                <w:color w:val="000000" w:themeColor="text1"/>
                <w14:textFill>
                  <w14:solidFill>
                    <w14:schemeClr w14:val="tx1"/>
                  </w14:solidFill>
                </w14:textFill>
              </w:rPr>
            </w:pPr>
          </w:p>
        </w:tc>
        <w:tc>
          <w:tcPr>
            <w:tcW w:w="720" w:type="dxa"/>
            <w:vAlign w:val="center"/>
          </w:tcPr>
          <w:p w14:paraId="01A3139E">
            <w:pPr>
              <w:pStyle w:val="42"/>
              <w:rPr>
                <w:color w:val="000000" w:themeColor="text1"/>
                <w14:textFill>
                  <w14:solidFill>
                    <w14:schemeClr w14:val="tx1"/>
                  </w14:solidFill>
                </w14:textFill>
              </w:rPr>
            </w:pPr>
          </w:p>
        </w:tc>
      </w:tr>
      <w:tr w14:paraId="2C48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65CCEE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08893151">
            <w:pPr>
              <w:pStyle w:val="42"/>
              <w:rPr>
                <w:color w:val="000000" w:themeColor="text1"/>
                <w14:textFill>
                  <w14:solidFill>
                    <w14:schemeClr w14:val="tx1"/>
                  </w14:solidFill>
                </w14:textFill>
              </w:rPr>
            </w:pPr>
          </w:p>
        </w:tc>
        <w:tc>
          <w:tcPr>
            <w:tcW w:w="898" w:type="dxa"/>
            <w:vAlign w:val="center"/>
          </w:tcPr>
          <w:p w14:paraId="25A2DE6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1994610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）吊篮悬吊平台面未牢固满铺防滑板，扣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CEEC54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）操作人员穿拖鞋或易滑鞋作业，每人次扣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3A2D8502">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3）吊篮平台周边未按临边作业要求设置防护栏杆、挡脚板，扣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026D0E1">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4）多层或立体交叉作业未设置防护顶板，扣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294DCA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AA6A5D0">
            <w:pPr>
              <w:pStyle w:val="42"/>
              <w:rPr>
                <w:color w:val="000000" w:themeColor="text1"/>
                <w14:textFill>
                  <w14:solidFill>
                    <w14:schemeClr w14:val="tx1"/>
                  </w14:solidFill>
                </w14:textFill>
              </w:rPr>
            </w:pPr>
          </w:p>
        </w:tc>
        <w:tc>
          <w:tcPr>
            <w:tcW w:w="720" w:type="dxa"/>
            <w:vAlign w:val="center"/>
          </w:tcPr>
          <w:p w14:paraId="6187C50A">
            <w:pPr>
              <w:pStyle w:val="42"/>
              <w:rPr>
                <w:color w:val="000000" w:themeColor="text1"/>
                <w14:textFill>
                  <w14:solidFill>
                    <w14:schemeClr w14:val="tx1"/>
                  </w14:solidFill>
                </w14:textFill>
              </w:rPr>
            </w:pPr>
          </w:p>
        </w:tc>
      </w:tr>
      <w:tr w14:paraId="1FF3F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302BCF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10216371">
            <w:pPr>
              <w:pStyle w:val="42"/>
              <w:rPr>
                <w:color w:val="000000" w:themeColor="text1"/>
                <w14:textFill>
                  <w14:solidFill>
                    <w14:schemeClr w14:val="tx1"/>
                  </w14:solidFill>
                </w14:textFill>
              </w:rPr>
            </w:pPr>
          </w:p>
        </w:tc>
        <w:tc>
          <w:tcPr>
            <w:tcW w:w="898" w:type="dxa"/>
            <w:vAlign w:val="center"/>
          </w:tcPr>
          <w:p w14:paraId="5EA20A4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使用荷载</w:t>
            </w:r>
          </w:p>
        </w:tc>
        <w:tc>
          <w:tcPr>
            <w:tcW w:w="5580" w:type="dxa"/>
            <w:vAlign w:val="center"/>
          </w:tcPr>
          <w:p w14:paraId="38902D2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1)施工荷载超过使用说明书</w:t>
            </w:r>
            <w:r>
              <w:rPr>
                <w:color w:val="000000" w:themeColor="text1"/>
                <w14:textFill>
                  <w14:solidFill>
                    <w14:schemeClr w14:val="tx1"/>
                  </w14:solidFill>
                </w14:textFill>
              </w:rPr>
              <w:t>或吊篮</w:t>
            </w:r>
            <w:r>
              <w:rPr>
                <w:rFonts w:hint="eastAsia"/>
                <w:color w:val="000000" w:themeColor="text1"/>
                <w14:textFill>
                  <w14:solidFill>
                    <w14:schemeClr w14:val="tx1"/>
                  </w14:solidFill>
                </w14:textFill>
              </w:rPr>
              <w:t>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4B0723">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2)荷载堆放不均匀，扣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140E8D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）未设置重量限载的警示标志，扣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344E13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A9EF765">
            <w:pPr>
              <w:pStyle w:val="42"/>
              <w:rPr>
                <w:color w:val="000000" w:themeColor="text1"/>
                <w14:textFill>
                  <w14:solidFill>
                    <w14:schemeClr w14:val="tx1"/>
                  </w14:solidFill>
                </w14:textFill>
              </w:rPr>
            </w:pPr>
          </w:p>
        </w:tc>
        <w:tc>
          <w:tcPr>
            <w:tcW w:w="720" w:type="dxa"/>
            <w:vAlign w:val="center"/>
          </w:tcPr>
          <w:p w14:paraId="28861887">
            <w:pPr>
              <w:pStyle w:val="42"/>
              <w:rPr>
                <w:color w:val="000000" w:themeColor="text1"/>
                <w14:textFill>
                  <w14:solidFill>
                    <w14:schemeClr w14:val="tx1"/>
                  </w14:solidFill>
                </w14:textFill>
              </w:rPr>
            </w:pPr>
          </w:p>
        </w:tc>
      </w:tr>
      <w:tr w14:paraId="6D920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217FD7A">
            <w:pPr>
              <w:pStyle w:val="42"/>
              <w:rPr>
                <w:color w:val="000000" w:themeColor="text1"/>
                <w14:textFill>
                  <w14:solidFill>
                    <w14:schemeClr w14:val="tx1"/>
                  </w14:solidFill>
                </w14:textFill>
              </w:rPr>
            </w:pPr>
          </w:p>
        </w:tc>
        <w:tc>
          <w:tcPr>
            <w:tcW w:w="543" w:type="dxa"/>
            <w:vMerge w:val="continue"/>
          </w:tcPr>
          <w:p w14:paraId="37E36697">
            <w:pPr>
              <w:pStyle w:val="42"/>
              <w:rPr>
                <w:color w:val="000000" w:themeColor="text1"/>
                <w14:textFill>
                  <w14:solidFill>
                    <w14:schemeClr w14:val="tx1"/>
                  </w14:solidFill>
                </w14:textFill>
              </w:rPr>
            </w:pPr>
          </w:p>
        </w:tc>
        <w:tc>
          <w:tcPr>
            <w:tcW w:w="6478" w:type="dxa"/>
            <w:gridSpan w:val="2"/>
            <w:vAlign w:val="center"/>
          </w:tcPr>
          <w:p w14:paraId="00338288">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1C5386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1FD97E49">
            <w:pPr>
              <w:pStyle w:val="42"/>
              <w:rPr>
                <w:color w:val="000000" w:themeColor="text1"/>
                <w14:textFill>
                  <w14:solidFill>
                    <w14:schemeClr w14:val="tx1"/>
                  </w14:solidFill>
                </w14:textFill>
              </w:rPr>
            </w:pPr>
          </w:p>
        </w:tc>
        <w:tc>
          <w:tcPr>
            <w:tcW w:w="720" w:type="dxa"/>
            <w:vAlign w:val="center"/>
          </w:tcPr>
          <w:p w14:paraId="15C20C64">
            <w:pPr>
              <w:pStyle w:val="42"/>
              <w:rPr>
                <w:color w:val="000000" w:themeColor="text1"/>
                <w14:textFill>
                  <w14:solidFill>
                    <w14:schemeClr w14:val="tx1"/>
                  </w14:solidFill>
                </w14:textFill>
              </w:rPr>
            </w:pPr>
          </w:p>
        </w:tc>
      </w:tr>
      <w:tr w14:paraId="71F6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36E0FBD1">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3EC058B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41296141">
            <w:pPr>
              <w:pStyle w:val="42"/>
              <w:rPr>
                <w:color w:val="000000" w:themeColor="text1"/>
                <w14:textFill>
                  <w14:solidFill>
                    <w14:schemeClr w14:val="tx1"/>
                  </w14:solidFill>
                </w14:textFill>
              </w:rPr>
            </w:pPr>
          </w:p>
        </w:tc>
        <w:tc>
          <w:tcPr>
            <w:tcW w:w="720" w:type="dxa"/>
            <w:vAlign w:val="center"/>
          </w:tcPr>
          <w:p w14:paraId="2E832CF4">
            <w:pPr>
              <w:pStyle w:val="42"/>
              <w:rPr>
                <w:color w:val="000000" w:themeColor="text1"/>
                <w14:textFill>
                  <w14:solidFill>
                    <w14:schemeClr w14:val="tx1"/>
                  </w14:solidFill>
                </w14:textFill>
              </w:rPr>
            </w:pPr>
          </w:p>
        </w:tc>
      </w:tr>
    </w:tbl>
    <w:p w14:paraId="3096D9CB">
      <w:pPr>
        <w:rPr>
          <w:color w:val="000000" w:themeColor="text1"/>
          <w14:textFill>
            <w14:solidFill>
              <w14:schemeClr w14:val="tx1"/>
            </w14:solidFill>
          </w14:textFill>
        </w:rPr>
      </w:pPr>
    </w:p>
    <w:p w14:paraId="29B01DC5">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42" w:name="_Toc21150"/>
      <w:bookmarkStart w:id="43" w:name="_Toc171"/>
      <w:bookmarkStart w:id="44" w:name="_Toc5516"/>
      <w:r>
        <w:rPr>
          <w:rFonts w:hint="eastAsia"/>
          <w:color w:val="000000" w:themeColor="text1"/>
          <w14:textFill>
            <w14:solidFill>
              <w14:schemeClr w14:val="tx1"/>
            </w14:solidFill>
          </w14:textFill>
        </w:rPr>
        <w:t>表14  栈桥与</w:t>
      </w:r>
      <w:r>
        <w:rPr>
          <w:color w:val="000000" w:themeColor="text1"/>
          <w14:textFill>
            <w14:solidFill>
              <w14:schemeClr w14:val="tx1"/>
            </w14:solidFill>
          </w14:textFill>
        </w:rPr>
        <w:t>作业平台</w:t>
      </w:r>
      <w:r>
        <w:rPr>
          <w:rFonts w:hint="eastAsia"/>
          <w:color w:val="000000" w:themeColor="text1"/>
          <w14:textFill>
            <w14:solidFill>
              <w14:schemeClr w14:val="tx1"/>
            </w14:solidFill>
          </w14:textFill>
        </w:rPr>
        <w:t>检查</w:t>
      </w:r>
      <w:r>
        <w:rPr>
          <w:color w:val="000000" w:themeColor="text1"/>
          <w14:textFill>
            <w14:solidFill>
              <w14:schemeClr w14:val="tx1"/>
            </w14:solidFill>
          </w14:textFill>
        </w:rPr>
        <w:t>评分表</w:t>
      </w:r>
      <w:bookmarkEnd w:id="42"/>
      <w:bookmarkEnd w:id="43"/>
      <w:bookmarkEnd w:id="44"/>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765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7B10FB1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06EA021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5B95808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1D7355D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73DEEAA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251FECC7">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2F17C3C9">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24BF0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61B70FC5">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74D67A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6EB1CAB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3E86314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16B344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6AA8D5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7F2577D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037C5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）未编制设计文件，扣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56681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）未对栈桥和平台结构、构件、地基基础进行设计计算，扣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6D1A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）设计文件中图纸或计算书不齐全，扣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6540DC6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）专项施工方案未进行审核、审批，扣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82D1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）当专项施工方案需要进行论证时，未按规定组织专家论证，扣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F0390A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7E4178E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D38B448">
            <w:pPr>
              <w:pStyle w:val="42"/>
              <w:rPr>
                <w:color w:val="000000" w:themeColor="text1"/>
                <w14:textFill>
                  <w14:solidFill>
                    <w14:schemeClr w14:val="tx1"/>
                  </w14:solidFill>
                </w14:textFill>
              </w:rPr>
            </w:pPr>
          </w:p>
        </w:tc>
        <w:tc>
          <w:tcPr>
            <w:tcW w:w="720" w:type="dxa"/>
            <w:vAlign w:val="center"/>
          </w:tcPr>
          <w:p w14:paraId="488FDCC8">
            <w:pPr>
              <w:pStyle w:val="42"/>
              <w:rPr>
                <w:color w:val="000000" w:themeColor="text1"/>
                <w14:textFill>
                  <w14:solidFill>
                    <w14:schemeClr w14:val="tx1"/>
                  </w14:solidFill>
                </w14:textFill>
              </w:rPr>
            </w:pPr>
          </w:p>
        </w:tc>
      </w:tr>
      <w:tr w14:paraId="7CEC0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2D709799">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B74DD50">
            <w:pPr>
              <w:pStyle w:val="42"/>
              <w:rPr>
                <w:color w:val="000000" w:themeColor="text1"/>
                <w14:textFill>
                  <w14:solidFill>
                    <w14:schemeClr w14:val="tx1"/>
                  </w14:solidFill>
                </w14:textFill>
              </w:rPr>
            </w:pPr>
          </w:p>
        </w:tc>
        <w:tc>
          <w:tcPr>
            <w:tcW w:w="898" w:type="dxa"/>
            <w:vAlign w:val="center"/>
          </w:tcPr>
          <w:p w14:paraId="401F1DF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构配件材质</w:t>
            </w:r>
          </w:p>
        </w:tc>
        <w:tc>
          <w:tcPr>
            <w:tcW w:w="5580" w:type="dxa"/>
            <w:vAlign w:val="center"/>
          </w:tcPr>
          <w:p w14:paraId="430DBD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）构配件无质量合格证、产品性能检验报告，扣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C331FC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）构配件品种、规格、型号、材质不符合专项施工方案和有关标准要求，扣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FAC41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）所采用的常备式定型钢构件的质量不符合相关使用手册的要求，扣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C4A46D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）常备式定型钢构件无使用说明书等技术文件，扣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CD0E3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）主体结构构件、连接件有显著的变形、超标的挠度或严重锈蚀剥皮，扣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F0ECEE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3B8D776">
            <w:pPr>
              <w:pStyle w:val="42"/>
              <w:rPr>
                <w:color w:val="000000" w:themeColor="text1"/>
                <w14:textFill>
                  <w14:solidFill>
                    <w14:schemeClr w14:val="tx1"/>
                  </w14:solidFill>
                </w14:textFill>
              </w:rPr>
            </w:pPr>
          </w:p>
        </w:tc>
        <w:tc>
          <w:tcPr>
            <w:tcW w:w="720" w:type="dxa"/>
            <w:vAlign w:val="center"/>
          </w:tcPr>
          <w:p w14:paraId="277C3B3C">
            <w:pPr>
              <w:pStyle w:val="42"/>
              <w:rPr>
                <w:color w:val="000000" w:themeColor="text1"/>
                <w14:textFill>
                  <w14:solidFill>
                    <w14:schemeClr w14:val="tx1"/>
                  </w14:solidFill>
                </w14:textFill>
              </w:rPr>
            </w:pPr>
          </w:p>
        </w:tc>
      </w:tr>
      <w:tr w14:paraId="4BDD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DDBE323">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09462B9F">
            <w:pPr>
              <w:pStyle w:val="42"/>
              <w:rPr>
                <w:color w:val="000000" w:themeColor="text1"/>
                <w14:textFill>
                  <w14:solidFill>
                    <w14:schemeClr w14:val="tx1"/>
                  </w14:solidFill>
                </w14:textFill>
              </w:rPr>
            </w:pPr>
          </w:p>
        </w:tc>
        <w:tc>
          <w:tcPr>
            <w:tcW w:w="898" w:type="dxa"/>
            <w:vAlign w:val="center"/>
          </w:tcPr>
          <w:p w14:paraId="2CA0373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立柱</w:t>
            </w:r>
          </w:p>
        </w:tc>
        <w:tc>
          <w:tcPr>
            <w:tcW w:w="5580" w:type="dxa"/>
            <w:vAlign w:val="center"/>
          </w:tcPr>
          <w:p w14:paraId="2715091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）采用钢管桩立柱时，钢管桩的入土（岩）深度不符合设计要求，扣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30450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）立柱设置位置不符合专项施工方案的要求，扣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F1366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）立柱柱身垂直度偏差大于立柱高度的</w:t>
            </w:r>
            <w:r>
              <w:rPr>
                <w:color w:val="000000" w:themeColor="text1"/>
                <w14:textFill>
                  <w14:solidFill>
                    <w14:schemeClr w14:val="tx1"/>
                  </w14:solidFill>
                </w14:textFill>
              </w:rPr>
              <w:t>1/500</w:t>
            </w:r>
            <w:r>
              <w:rPr>
                <w:rFonts w:hint="eastAsia"/>
                <w:color w:val="000000" w:themeColor="text1"/>
                <w14:textFill>
                  <w14:solidFill>
                    <w14:schemeClr w14:val="tx1"/>
                  </w14:solidFill>
                </w14:textFill>
              </w:rPr>
              <w:t>或大于</w:t>
            </w:r>
            <w:r>
              <w:rPr>
                <w:color w:val="000000" w:themeColor="text1"/>
                <w14:textFill>
                  <w14:solidFill>
                    <w14:schemeClr w14:val="tx1"/>
                  </w14:solidFill>
                </w14:textFill>
              </w:rPr>
              <w:t>50mm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8DEDA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）相邻立柱间未按照专项施工方案所规定的位置和数量设置横向连接系，扣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B5CFEB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）立柱柱头未按照专项施工方案的有求作加强处理，扣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21E06E4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）立柱未与上部横梁及下部基础紧密接触并连接牢固，扣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5B3EED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AD7A9D9">
            <w:pPr>
              <w:pStyle w:val="42"/>
              <w:rPr>
                <w:color w:val="000000" w:themeColor="text1"/>
                <w14:textFill>
                  <w14:solidFill>
                    <w14:schemeClr w14:val="tx1"/>
                  </w14:solidFill>
                </w14:textFill>
              </w:rPr>
            </w:pPr>
          </w:p>
        </w:tc>
        <w:tc>
          <w:tcPr>
            <w:tcW w:w="720" w:type="dxa"/>
            <w:vAlign w:val="center"/>
          </w:tcPr>
          <w:p w14:paraId="3CA312C7">
            <w:pPr>
              <w:pStyle w:val="42"/>
              <w:rPr>
                <w:color w:val="000000" w:themeColor="text1"/>
                <w14:textFill>
                  <w14:solidFill>
                    <w14:schemeClr w14:val="tx1"/>
                  </w14:solidFill>
                </w14:textFill>
              </w:rPr>
            </w:pPr>
          </w:p>
        </w:tc>
      </w:tr>
      <w:tr w14:paraId="6C7E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D4288C9">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0CE9315B">
            <w:pPr>
              <w:pStyle w:val="42"/>
              <w:rPr>
                <w:color w:val="000000" w:themeColor="text1"/>
                <w14:textFill>
                  <w14:solidFill>
                    <w14:schemeClr w14:val="tx1"/>
                  </w14:solidFill>
                </w14:textFill>
              </w:rPr>
            </w:pPr>
          </w:p>
        </w:tc>
        <w:tc>
          <w:tcPr>
            <w:tcW w:w="898" w:type="dxa"/>
            <w:vAlign w:val="center"/>
          </w:tcPr>
          <w:p w14:paraId="008E19A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纵梁和横梁构造</w:t>
            </w:r>
          </w:p>
        </w:tc>
        <w:tc>
          <w:tcPr>
            <w:tcW w:w="5580" w:type="dxa"/>
            <w:vAlign w:val="center"/>
          </w:tcPr>
          <w:p w14:paraId="191158C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）纵横梁的设置数量、位置、间距不符合专项施工方案的要求，扣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50F6032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）型钢纵梁或横梁在支承位置未设置支承加劲肋，扣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2C7A17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）型钢纵梁间未设置横向连接系将同跨内全部纵梁连接成整体，扣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19CE9CC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）桁架梁的相邻桁片间未按规定设置通长横向连接系将同跨内全部纵梁连接成整体，扣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CDBDB7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）当桁架梁支承位置不在其主节点上时，或当支座处剪力较大时，未按专项施工方案的要求对桁架支座处腹杆进行加强，扣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47CD5F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纵梁未在支承位置设置侧向限位装置，扣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3C9A60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）纵梁两端未按专项施工方案的要求设置止推挡块，扣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24DBD78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1852559">
            <w:pPr>
              <w:pStyle w:val="42"/>
              <w:rPr>
                <w:color w:val="000000" w:themeColor="text1"/>
                <w14:textFill>
                  <w14:solidFill>
                    <w14:schemeClr w14:val="tx1"/>
                  </w14:solidFill>
                </w14:textFill>
              </w:rPr>
            </w:pPr>
          </w:p>
        </w:tc>
        <w:tc>
          <w:tcPr>
            <w:tcW w:w="720" w:type="dxa"/>
            <w:vAlign w:val="center"/>
          </w:tcPr>
          <w:p w14:paraId="0B936729">
            <w:pPr>
              <w:pStyle w:val="42"/>
              <w:rPr>
                <w:color w:val="000000" w:themeColor="text1"/>
                <w14:textFill>
                  <w14:solidFill>
                    <w14:schemeClr w14:val="tx1"/>
                  </w14:solidFill>
                </w14:textFill>
              </w:rPr>
            </w:pPr>
          </w:p>
        </w:tc>
      </w:tr>
      <w:tr w14:paraId="60867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42BEE01A">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0065C2F9">
            <w:pPr>
              <w:pStyle w:val="42"/>
              <w:rPr>
                <w:color w:val="000000" w:themeColor="text1"/>
                <w14:textFill>
                  <w14:solidFill>
                    <w14:schemeClr w14:val="tx1"/>
                  </w14:solidFill>
                </w14:textFill>
              </w:rPr>
            </w:pPr>
          </w:p>
        </w:tc>
        <w:tc>
          <w:tcPr>
            <w:tcW w:w="898" w:type="dxa"/>
            <w:vAlign w:val="center"/>
          </w:tcPr>
          <w:p w14:paraId="44E74BA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桥面</w:t>
            </w:r>
          </w:p>
        </w:tc>
        <w:tc>
          <w:tcPr>
            <w:tcW w:w="5580" w:type="dxa"/>
            <w:vAlign w:val="center"/>
          </w:tcPr>
          <w:p w14:paraId="1D2A12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）车辆和人员行走区域的面板未满铺，或未与下部结构连接牢固，扣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2B528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）悬臂面板未采取有效的加固措施，扣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E02F0E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）行车道侧面未设置护轮坎，扣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058A51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）波浪较大水域的面板未设置波浪消能孔，扣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1517EA2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094014A">
            <w:pPr>
              <w:pStyle w:val="42"/>
              <w:rPr>
                <w:color w:val="000000" w:themeColor="text1"/>
                <w14:textFill>
                  <w14:solidFill>
                    <w14:schemeClr w14:val="tx1"/>
                  </w14:solidFill>
                </w14:textFill>
              </w:rPr>
            </w:pPr>
          </w:p>
        </w:tc>
        <w:tc>
          <w:tcPr>
            <w:tcW w:w="720" w:type="dxa"/>
            <w:vAlign w:val="center"/>
          </w:tcPr>
          <w:p w14:paraId="4DF1F2C2">
            <w:pPr>
              <w:pStyle w:val="42"/>
              <w:rPr>
                <w:color w:val="000000" w:themeColor="text1"/>
                <w14:textFill>
                  <w14:solidFill>
                    <w14:schemeClr w14:val="tx1"/>
                  </w14:solidFill>
                </w14:textFill>
              </w:rPr>
            </w:pPr>
          </w:p>
        </w:tc>
      </w:tr>
      <w:tr w14:paraId="7160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FD8DDFC">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214ACAEE">
            <w:pPr>
              <w:pStyle w:val="42"/>
              <w:rPr>
                <w:color w:val="000000" w:themeColor="text1"/>
                <w14:textFill>
                  <w14:solidFill>
                    <w14:schemeClr w14:val="tx1"/>
                  </w14:solidFill>
                </w14:textFill>
              </w:rPr>
            </w:pPr>
          </w:p>
        </w:tc>
        <w:tc>
          <w:tcPr>
            <w:tcW w:w="898" w:type="dxa"/>
            <w:vAlign w:val="center"/>
          </w:tcPr>
          <w:p w14:paraId="269FFC6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33EECAE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）在构配件进场进场、结构安装、基础施工、安全防护设施安装各阶段未进行检查验收，扣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分；阶段检查验收未形成记录，扣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B5E2A5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）各阶段检查验收内容和指标未进行量化，扣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1ECCB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）在投入使用前，未进行完工验收，扣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分；完工验收未形成记录，扣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899CC4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58319F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）使用过程中未对各部位螺栓或销钉的紧固程度和焊缝完整性进行例行检查，或未形成检查记录，扣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5BAF68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AFC7812">
            <w:pPr>
              <w:pStyle w:val="42"/>
              <w:rPr>
                <w:color w:val="000000" w:themeColor="text1"/>
                <w14:textFill>
                  <w14:solidFill>
                    <w14:schemeClr w14:val="tx1"/>
                  </w14:solidFill>
                </w14:textFill>
              </w:rPr>
            </w:pPr>
          </w:p>
        </w:tc>
        <w:tc>
          <w:tcPr>
            <w:tcW w:w="720" w:type="dxa"/>
            <w:vAlign w:val="center"/>
          </w:tcPr>
          <w:p w14:paraId="492673BC">
            <w:pPr>
              <w:pStyle w:val="42"/>
              <w:rPr>
                <w:color w:val="000000" w:themeColor="text1"/>
                <w14:textFill>
                  <w14:solidFill>
                    <w14:schemeClr w14:val="tx1"/>
                  </w14:solidFill>
                </w14:textFill>
              </w:rPr>
            </w:pPr>
          </w:p>
        </w:tc>
      </w:tr>
      <w:tr w14:paraId="55C6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20966AA">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49F00662">
            <w:pPr>
              <w:pStyle w:val="42"/>
              <w:rPr>
                <w:color w:val="000000" w:themeColor="text1"/>
                <w14:textFill>
                  <w14:solidFill>
                    <w14:schemeClr w14:val="tx1"/>
                  </w14:solidFill>
                </w14:textFill>
              </w:rPr>
            </w:pPr>
          </w:p>
        </w:tc>
        <w:tc>
          <w:tcPr>
            <w:tcW w:w="898" w:type="dxa"/>
            <w:vAlign w:val="center"/>
          </w:tcPr>
          <w:p w14:paraId="3E1F9AE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安全使用</w:t>
            </w:r>
          </w:p>
        </w:tc>
        <w:tc>
          <w:tcPr>
            <w:tcW w:w="5580" w:type="dxa"/>
            <w:vAlign w:val="center"/>
          </w:tcPr>
          <w:p w14:paraId="028D4F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）栈桥与平台上的机动设备未严格按规定的车速行驶，扣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3751FB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）进入栈桥与平台上的施工机械或物料堆置的荷载超过设计规定，扣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D89F80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）栈桥与平台入口处未悬挂使用规则，扣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D987F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）栈桥与平台未设置行车限速、防人员触电及落水等安全警示标志，扣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4B3B2A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）非许可的设备、设施与栈桥与平台连接，扣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20A5BD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）当遇海水或其他腐蚀性环境时，栈桥与平台应超过一年未进行安全评估</w:t>
            </w:r>
          </w:p>
          <w:p w14:paraId="68C1C9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）栈桥与平台现场使用单位未对其安全技术记录资料建立安全技术档案</w:t>
            </w:r>
          </w:p>
        </w:tc>
        <w:tc>
          <w:tcPr>
            <w:tcW w:w="720" w:type="dxa"/>
            <w:vAlign w:val="center"/>
          </w:tcPr>
          <w:p w14:paraId="2732AD3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05CA982">
            <w:pPr>
              <w:pStyle w:val="42"/>
              <w:rPr>
                <w:color w:val="000000" w:themeColor="text1"/>
                <w14:textFill>
                  <w14:solidFill>
                    <w14:schemeClr w14:val="tx1"/>
                  </w14:solidFill>
                </w14:textFill>
              </w:rPr>
            </w:pPr>
          </w:p>
        </w:tc>
        <w:tc>
          <w:tcPr>
            <w:tcW w:w="720" w:type="dxa"/>
            <w:vAlign w:val="center"/>
          </w:tcPr>
          <w:p w14:paraId="13F87CB7">
            <w:pPr>
              <w:pStyle w:val="42"/>
              <w:rPr>
                <w:color w:val="000000" w:themeColor="text1"/>
                <w14:textFill>
                  <w14:solidFill>
                    <w14:schemeClr w14:val="tx1"/>
                  </w14:solidFill>
                </w14:textFill>
              </w:rPr>
            </w:pPr>
          </w:p>
        </w:tc>
      </w:tr>
      <w:tr w14:paraId="65D7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E2E4039">
            <w:pPr>
              <w:pStyle w:val="42"/>
              <w:rPr>
                <w:color w:val="000000" w:themeColor="text1"/>
                <w14:textFill>
                  <w14:solidFill>
                    <w14:schemeClr w14:val="tx1"/>
                  </w14:solidFill>
                </w14:textFill>
              </w:rPr>
            </w:pPr>
          </w:p>
        </w:tc>
        <w:tc>
          <w:tcPr>
            <w:tcW w:w="543" w:type="dxa"/>
            <w:vMerge w:val="continue"/>
          </w:tcPr>
          <w:p w14:paraId="0F92A0C1">
            <w:pPr>
              <w:pStyle w:val="42"/>
              <w:rPr>
                <w:color w:val="000000" w:themeColor="text1"/>
                <w14:textFill>
                  <w14:solidFill>
                    <w14:schemeClr w14:val="tx1"/>
                  </w14:solidFill>
                </w14:textFill>
              </w:rPr>
            </w:pPr>
          </w:p>
        </w:tc>
        <w:tc>
          <w:tcPr>
            <w:tcW w:w="6478" w:type="dxa"/>
            <w:gridSpan w:val="2"/>
            <w:vAlign w:val="center"/>
          </w:tcPr>
          <w:p w14:paraId="1B4CC546">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59DE6BF5">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3A148D9C">
            <w:pPr>
              <w:pStyle w:val="42"/>
              <w:rPr>
                <w:color w:val="000000" w:themeColor="text1"/>
                <w14:textFill>
                  <w14:solidFill>
                    <w14:schemeClr w14:val="tx1"/>
                  </w14:solidFill>
                </w14:textFill>
              </w:rPr>
            </w:pPr>
          </w:p>
        </w:tc>
        <w:tc>
          <w:tcPr>
            <w:tcW w:w="720" w:type="dxa"/>
            <w:vAlign w:val="center"/>
          </w:tcPr>
          <w:p w14:paraId="6B37CCB9">
            <w:pPr>
              <w:pStyle w:val="42"/>
              <w:rPr>
                <w:color w:val="000000" w:themeColor="text1"/>
                <w14:textFill>
                  <w14:solidFill>
                    <w14:schemeClr w14:val="tx1"/>
                  </w14:solidFill>
                </w14:textFill>
              </w:rPr>
            </w:pPr>
          </w:p>
        </w:tc>
      </w:tr>
      <w:tr w14:paraId="250BF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116BC09">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24D43B8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7C7C309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2C3BBB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625F5AE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7F3EE18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设计要求</w:t>
            </w:r>
          </w:p>
        </w:tc>
        <w:tc>
          <w:tcPr>
            <w:tcW w:w="5580" w:type="dxa"/>
            <w:vAlign w:val="center"/>
          </w:tcPr>
          <w:p w14:paraId="729471B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）栈桥和平台下部净空低于最大洪水位，扣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分；净空未考虑安全高度，扣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06DD82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）长距离栈桥未设置会车、调头区域，扣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2C1C5F6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8EF4FA0">
            <w:pPr>
              <w:pStyle w:val="42"/>
              <w:rPr>
                <w:color w:val="000000" w:themeColor="text1"/>
                <w14:textFill>
                  <w14:solidFill>
                    <w14:schemeClr w14:val="tx1"/>
                  </w14:solidFill>
                </w14:textFill>
              </w:rPr>
            </w:pPr>
          </w:p>
        </w:tc>
        <w:tc>
          <w:tcPr>
            <w:tcW w:w="720" w:type="dxa"/>
            <w:vAlign w:val="center"/>
          </w:tcPr>
          <w:p w14:paraId="6F070D15">
            <w:pPr>
              <w:pStyle w:val="42"/>
              <w:rPr>
                <w:color w:val="000000" w:themeColor="text1"/>
                <w14:textFill>
                  <w14:solidFill>
                    <w14:schemeClr w14:val="tx1"/>
                  </w14:solidFill>
                </w14:textFill>
              </w:rPr>
            </w:pPr>
          </w:p>
        </w:tc>
      </w:tr>
      <w:tr w14:paraId="05CA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3F5FF37">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8821C76">
            <w:pPr>
              <w:pStyle w:val="42"/>
              <w:rPr>
                <w:color w:val="000000" w:themeColor="text1"/>
                <w14:textFill>
                  <w14:solidFill>
                    <w14:schemeClr w14:val="tx1"/>
                  </w14:solidFill>
                </w14:textFill>
              </w:rPr>
            </w:pPr>
          </w:p>
        </w:tc>
        <w:tc>
          <w:tcPr>
            <w:tcW w:w="898" w:type="dxa"/>
            <w:vAlign w:val="center"/>
          </w:tcPr>
          <w:p w14:paraId="6C5FDBC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监测</w:t>
            </w:r>
          </w:p>
        </w:tc>
        <w:tc>
          <w:tcPr>
            <w:tcW w:w="5580" w:type="dxa"/>
            <w:vAlign w:val="center"/>
          </w:tcPr>
          <w:p w14:paraId="6A18442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）栈桥和平台在施工前未设置变形观测基准点和观测点，扣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1D1574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）栈桥和平台在使用过程中未对水位和各部位的变形进行监测或未形成检测记录，扣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E16C01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77C7228">
            <w:pPr>
              <w:pStyle w:val="42"/>
              <w:rPr>
                <w:color w:val="000000" w:themeColor="text1"/>
                <w14:textFill>
                  <w14:solidFill>
                    <w14:schemeClr w14:val="tx1"/>
                  </w14:solidFill>
                </w14:textFill>
              </w:rPr>
            </w:pPr>
          </w:p>
        </w:tc>
        <w:tc>
          <w:tcPr>
            <w:tcW w:w="720" w:type="dxa"/>
            <w:vAlign w:val="center"/>
          </w:tcPr>
          <w:p w14:paraId="5B5C06BA">
            <w:pPr>
              <w:pStyle w:val="42"/>
              <w:rPr>
                <w:color w:val="000000" w:themeColor="text1"/>
                <w14:textFill>
                  <w14:solidFill>
                    <w14:schemeClr w14:val="tx1"/>
                  </w14:solidFill>
                </w14:textFill>
              </w:rPr>
            </w:pPr>
          </w:p>
        </w:tc>
      </w:tr>
      <w:tr w14:paraId="09999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C4CCD5D">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017FA3FF">
            <w:pPr>
              <w:pStyle w:val="42"/>
              <w:rPr>
                <w:color w:val="000000" w:themeColor="text1"/>
                <w14:textFill>
                  <w14:solidFill>
                    <w14:schemeClr w14:val="tx1"/>
                  </w14:solidFill>
                </w14:textFill>
              </w:rPr>
            </w:pPr>
          </w:p>
        </w:tc>
        <w:tc>
          <w:tcPr>
            <w:tcW w:w="898" w:type="dxa"/>
            <w:vAlign w:val="center"/>
          </w:tcPr>
          <w:p w14:paraId="1B7B002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707F26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）栈桥与平台周边未按规定设置栏杆、挡脚板和安全立网，扣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F1E33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）通航水域栈桥与平台的临边栏杆未设置反光设施，或边角处应设置红色警示灯，扣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43FB85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）通过栈桥的电缆未采取良好的绝缘措施，或未在栈桥的一侧设置固定电缆的支架，扣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8F93B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）船舶停泊处水中栈桥与平台未设置船舶靠泊系揽桩，或船舶系缆于栈桥与平台结构上，扣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8A00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）通航水域的栈桥与平台未设置确保结构不会被船舶碰撞的防撞桩，扣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E9B82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）栈桥与平台上未配备足够的、各种类型的消防、救生器材，扣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02D192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FE51630">
            <w:pPr>
              <w:pStyle w:val="42"/>
              <w:rPr>
                <w:color w:val="000000" w:themeColor="text1"/>
                <w14:textFill>
                  <w14:solidFill>
                    <w14:schemeClr w14:val="tx1"/>
                  </w14:solidFill>
                </w14:textFill>
              </w:rPr>
            </w:pPr>
          </w:p>
        </w:tc>
        <w:tc>
          <w:tcPr>
            <w:tcW w:w="720" w:type="dxa"/>
            <w:vAlign w:val="center"/>
          </w:tcPr>
          <w:p w14:paraId="7AF152A0">
            <w:pPr>
              <w:pStyle w:val="42"/>
              <w:rPr>
                <w:color w:val="000000" w:themeColor="text1"/>
                <w14:textFill>
                  <w14:solidFill>
                    <w14:schemeClr w14:val="tx1"/>
                  </w14:solidFill>
                </w14:textFill>
              </w:rPr>
            </w:pPr>
          </w:p>
        </w:tc>
      </w:tr>
      <w:tr w14:paraId="0AAF4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99BE923">
            <w:pPr>
              <w:pStyle w:val="42"/>
              <w:rPr>
                <w:color w:val="000000" w:themeColor="text1"/>
                <w14:textFill>
                  <w14:solidFill>
                    <w14:schemeClr w14:val="tx1"/>
                  </w14:solidFill>
                </w14:textFill>
              </w:rPr>
            </w:pPr>
          </w:p>
        </w:tc>
        <w:tc>
          <w:tcPr>
            <w:tcW w:w="543" w:type="dxa"/>
            <w:vMerge w:val="continue"/>
          </w:tcPr>
          <w:p w14:paraId="11BE4329">
            <w:pPr>
              <w:pStyle w:val="42"/>
              <w:rPr>
                <w:color w:val="000000" w:themeColor="text1"/>
                <w14:textFill>
                  <w14:solidFill>
                    <w14:schemeClr w14:val="tx1"/>
                  </w14:solidFill>
                </w14:textFill>
              </w:rPr>
            </w:pPr>
          </w:p>
        </w:tc>
        <w:tc>
          <w:tcPr>
            <w:tcW w:w="6478" w:type="dxa"/>
            <w:gridSpan w:val="2"/>
            <w:vAlign w:val="center"/>
          </w:tcPr>
          <w:p w14:paraId="61F86135">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38215043">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4DA9BA3D">
            <w:pPr>
              <w:pStyle w:val="42"/>
              <w:rPr>
                <w:color w:val="000000" w:themeColor="text1"/>
                <w14:textFill>
                  <w14:solidFill>
                    <w14:schemeClr w14:val="tx1"/>
                  </w14:solidFill>
                </w14:textFill>
              </w:rPr>
            </w:pPr>
          </w:p>
        </w:tc>
        <w:tc>
          <w:tcPr>
            <w:tcW w:w="720" w:type="dxa"/>
            <w:vAlign w:val="center"/>
          </w:tcPr>
          <w:p w14:paraId="351EEF05">
            <w:pPr>
              <w:pStyle w:val="42"/>
              <w:rPr>
                <w:color w:val="000000" w:themeColor="text1"/>
                <w14:textFill>
                  <w14:solidFill>
                    <w14:schemeClr w14:val="tx1"/>
                  </w14:solidFill>
                </w14:textFill>
              </w:rPr>
            </w:pPr>
          </w:p>
        </w:tc>
      </w:tr>
      <w:tr w14:paraId="131AE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797E87CB">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2E62BE4D">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0F25C55C">
            <w:pPr>
              <w:pStyle w:val="42"/>
              <w:rPr>
                <w:color w:val="000000" w:themeColor="text1"/>
                <w14:textFill>
                  <w14:solidFill>
                    <w14:schemeClr w14:val="tx1"/>
                  </w14:solidFill>
                </w14:textFill>
              </w:rPr>
            </w:pPr>
          </w:p>
        </w:tc>
        <w:tc>
          <w:tcPr>
            <w:tcW w:w="720" w:type="dxa"/>
            <w:vAlign w:val="center"/>
          </w:tcPr>
          <w:p w14:paraId="49E4F0C9">
            <w:pPr>
              <w:pStyle w:val="42"/>
              <w:rPr>
                <w:color w:val="000000" w:themeColor="text1"/>
                <w14:textFill>
                  <w14:solidFill>
                    <w14:schemeClr w14:val="tx1"/>
                  </w14:solidFill>
                </w14:textFill>
              </w:rPr>
            </w:pPr>
          </w:p>
        </w:tc>
      </w:tr>
    </w:tbl>
    <w:p w14:paraId="7C1410EA">
      <w:pPr>
        <w:rPr>
          <w:color w:val="000000" w:themeColor="text1"/>
          <w14:textFill>
            <w14:solidFill>
              <w14:schemeClr w14:val="tx1"/>
            </w14:solidFill>
          </w14:textFill>
        </w:rPr>
      </w:pPr>
    </w:p>
    <w:p w14:paraId="242475E1">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45" w:name="_Toc5839"/>
      <w:bookmarkStart w:id="46" w:name="_Toc14953"/>
      <w:bookmarkStart w:id="47" w:name="_Toc15878"/>
      <w:r>
        <w:rPr>
          <w:rFonts w:hint="eastAsia"/>
          <w:color w:val="000000" w:themeColor="text1"/>
          <w14:textFill>
            <w14:solidFill>
              <w14:schemeClr w14:val="tx1"/>
            </w14:solidFill>
          </w14:textFill>
        </w:rPr>
        <w:t>表15  猫道检查</w:t>
      </w:r>
      <w:r>
        <w:rPr>
          <w:color w:val="000000" w:themeColor="text1"/>
          <w14:textFill>
            <w14:solidFill>
              <w14:schemeClr w14:val="tx1"/>
            </w14:solidFill>
          </w14:textFill>
        </w:rPr>
        <w:t>评分表</w:t>
      </w:r>
      <w:bookmarkEnd w:id="45"/>
      <w:bookmarkEnd w:id="46"/>
      <w:bookmarkEnd w:id="47"/>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35E1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25D516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75A6B87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237F78A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25F8DAC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7166F86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309B2B60">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72886CEE">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01212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1F887120">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3DA27E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47DB23F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392357D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BABC89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04EF24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5B44303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1FE68F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）未编制设计文件，扣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C8924F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）未对猫道系统结构、构件和附属设施进行设计计算，扣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62F0DB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）设计文件中图纸或计算书不齐全，扣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428E534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FCB0CF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F92A2E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2B53DC1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38D1063">
            <w:pPr>
              <w:pStyle w:val="42"/>
              <w:rPr>
                <w:color w:val="000000" w:themeColor="text1"/>
                <w14:textFill>
                  <w14:solidFill>
                    <w14:schemeClr w14:val="tx1"/>
                  </w14:solidFill>
                </w14:textFill>
              </w:rPr>
            </w:pPr>
          </w:p>
        </w:tc>
        <w:tc>
          <w:tcPr>
            <w:tcW w:w="720" w:type="dxa"/>
            <w:vAlign w:val="center"/>
          </w:tcPr>
          <w:p w14:paraId="517D9014">
            <w:pPr>
              <w:pStyle w:val="42"/>
              <w:rPr>
                <w:color w:val="000000" w:themeColor="text1"/>
                <w14:textFill>
                  <w14:solidFill>
                    <w14:schemeClr w14:val="tx1"/>
                  </w14:solidFill>
                </w14:textFill>
              </w:rPr>
            </w:pPr>
          </w:p>
        </w:tc>
      </w:tr>
      <w:tr w14:paraId="06536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3D8CB63A">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3C985000">
            <w:pPr>
              <w:pStyle w:val="42"/>
              <w:rPr>
                <w:color w:val="000000" w:themeColor="text1"/>
                <w14:textFill>
                  <w14:solidFill>
                    <w14:schemeClr w14:val="tx1"/>
                  </w14:solidFill>
                </w14:textFill>
              </w:rPr>
            </w:pPr>
          </w:p>
        </w:tc>
        <w:tc>
          <w:tcPr>
            <w:tcW w:w="898" w:type="dxa"/>
            <w:vAlign w:val="center"/>
          </w:tcPr>
          <w:p w14:paraId="7DBD48F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构配件材质</w:t>
            </w:r>
          </w:p>
        </w:tc>
        <w:tc>
          <w:tcPr>
            <w:tcW w:w="5580" w:type="dxa"/>
            <w:vAlign w:val="center"/>
          </w:tcPr>
          <w:p w14:paraId="0C6BAFF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）猫道系统所用的各类钢丝绳或构配件无质量合格证、材质证明，扣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分；其品种、规格、型号、材质不符合方案设计和有关标准的要求，扣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434B53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）构配件品种、规格、型号、材质不符合专项施工方案和有关标准的要求，扣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0D9319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）猫道系统钢丝绳热铸锚头及套筒无无损探伤检测记录，扣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84692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）所采用的精轧螺纹钢筋、锚具及索具（含销轴）未对原材料和加工成品件进行探伤检查，或无验收记录，扣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FE0174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）猫道系统所采用的液压或卷扬装置无产品合格证，扣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68E0B0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）构配件有明显的变形、锈蚀及外观缺陷，扣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33EB17B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18CE0CE">
            <w:pPr>
              <w:pStyle w:val="42"/>
              <w:rPr>
                <w:color w:val="000000" w:themeColor="text1"/>
                <w14:textFill>
                  <w14:solidFill>
                    <w14:schemeClr w14:val="tx1"/>
                  </w14:solidFill>
                </w14:textFill>
              </w:rPr>
            </w:pPr>
          </w:p>
        </w:tc>
        <w:tc>
          <w:tcPr>
            <w:tcW w:w="720" w:type="dxa"/>
            <w:vAlign w:val="center"/>
          </w:tcPr>
          <w:p w14:paraId="47476211">
            <w:pPr>
              <w:pStyle w:val="42"/>
              <w:rPr>
                <w:color w:val="000000" w:themeColor="text1"/>
                <w14:textFill>
                  <w14:solidFill>
                    <w14:schemeClr w14:val="tx1"/>
                  </w14:solidFill>
                </w14:textFill>
              </w:rPr>
            </w:pPr>
          </w:p>
        </w:tc>
      </w:tr>
      <w:tr w14:paraId="5D1D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0E07C17">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7E4CBAE">
            <w:pPr>
              <w:pStyle w:val="42"/>
              <w:rPr>
                <w:color w:val="000000" w:themeColor="text1"/>
                <w14:textFill>
                  <w14:solidFill>
                    <w14:schemeClr w14:val="tx1"/>
                  </w14:solidFill>
                </w14:textFill>
              </w:rPr>
            </w:pPr>
          </w:p>
        </w:tc>
        <w:tc>
          <w:tcPr>
            <w:tcW w:w="898" w:type="dxa"/>
            <w:vAlign w:val="center"/>
          </w:tcPr>
          <w:p w14:paraId="59579E6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猫道结构</w:t>
            </w:r>
          </w:p>
        </w:tc>
        <w:tc>
          <w:tcPr>
            <w:tcW w:w="5580" w:type="dxa"/>
            <w:vAlign w:val="center"/>
          </w:tcPr>
          <w:p w14:paraId="7A8E2F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）猫道承重索、门架支撑索、牵引索在各工况下的安全系数，任何一项小于</w:t>
            </w:r>
            <w:r>
              <w:rPr>
                <w:color w:val="000000" w:themeColor="text1"/>
                <w14:textFill>
                  <w14:solidFill>
                    <w14:schemeClr w14:val="tx1"/>
                  </w14:solidFill>
                </w14:textFill>
              </w:rPr>
              <w:t>3.0</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20C971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）猫道线型不符合设计规定范围，扣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3DA42D6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）猫道承重索、门架支撑索、扶手索规格、位置、间距和锚固方式不符合方案设计的规定，扣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3A2F7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）猫道扶手索、门架支承索转向鞍座未按方案设计规定进行设置，扣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83EBA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）塔顶门架、鞍部顶门架、变位刚架、回转支架、平衡重支架的构造不符合方案设计的要求，或设置不牢固，扣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16E3A0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）放索场吊机、放索装置及转向滚轮锚固不符合方案设计的规定，扣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06CB6A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）猫道门架和横向天桥的规格、位置、间距和锚固方式不符合方案设计的规定，扣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726197A7">
            <w:pPr>
              <w:pStyle w:val="4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720" w:type="dxa"/>
            <w:vAlign w:val="center"/>
          </w:tcPr>
          <w:p w14:paraId="1F446C48">
            <w:pPr>
              <w:pStyle w:val="42"/>
              <w:rPr>
                <w:color w:val="000000" w:themeColor="text1"/>
                <w14:textFill>
                  <w14:solidFill>
                    <w14:schemeClr w14:val="tx1"/>
                  </w14:solidFill>
                </w14:textFill>
              </w:rPr>
            </w:pPr>
          </w:p>
        </w:tc>
        <w:tc>
          <w:tcPr>
            <w:tcW w:w="720" w:type="dxa"/>
            <w:vAlign w:val="center"/>
          </w:tcPr>
          <w:p w14:paraId="29E37148">
            <w:pPr>
              <w:pStyle w:val="42"/>
              <w:rPr>
                <w:color w:val="000000" w:themeColor="text1"/>
                <w14:textFill>
                  <w14:solidFill>
                    <w14:schemeClr w14:val="tx1"/>
                  </w14:solidFill>
                </w14:textFill>
              </w:rPr>
            </w:pPr>
          </w:p>
        </w:tc>
      </w:tr>
      <w:tr w14:paraId="6FE1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C7CDD3D">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01ADF862">
            <w:pPr>
              <w:pStyle w:val="42"/>
              <w:rPr>
                <w:color w:val="000000" w:themeColor="text1"/>
                <w14:textFill>
                  <w14:solidFill>
                    <w14:schemeClr w14:val="tx1"/>
                  </w14:solidFill>
                </w14:textFill>
              </w:rPr>
            </w:pPr>
          </w:p>
        </w:tc>
        <w:tc>
          <w:tcPr>
            <w:tcW w:w="898" w:type="dxa"/>
            <w:vAlign w:val="center"/>
          </w:tcPr>
          <w:p w14:paraId="4F48A7A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猫道系统安装</w:t>
            </w:r>
          </w:p>
        </w:tc>
        <w:tc>
          <w:tcPr>
            <w:tcW w:w="5580" w:type="dxa"/>
            <w:vAlign w:val="center"/>
          </w:tcPr>
          <w:p w14:paraId="5CDBEE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）猫道系统（含先导索）架设无专项操作指导书，扣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035BD79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）猫道索安装线型不满足要求，扣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211C7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）猫道索架设完成后，未按规定设置锁定装置进行锁定，扣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3C2F22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）先导索、猫道承重索、扶手索、支撑索安装过程中有破损、断丝、异常，扣</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w:t>
            </w:r>
          </w:p>
          <w:p w14:paraId="00739F8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）各类钢丝绳连接或锚固用卡环安装不满足方案设计和相关标准的要求，或卡环数量、间距未通过计算确定，扣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519046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）猫道系统安装过程中未对主塔塔顶位移进行监测，或未形成记录，扣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E4B2AA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）猫道系统安装过程中未对风力进行监测，或</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级以上大风未停止作业，扣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50F11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）猫道系统在改吊至主缆的体系转换前，未按方案设计的要求进行后锚固系统调整，扣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2E0D39B9">
            <w:pPr>
              <w:pStyle w:val="4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720" w:type="dxa"/>
            <w:vAlign w:val="center"/>
          </w:tcPr>
          <w:p w14:paraId="0069EE10">
            <w:pPr>
              <w:pStyle w:val="42"/>
              <w:rPr>
                <w:color w:val="000000" w:themeColor="text1"/>
                <w14:textFill>
                  <w14:solidFill>
                    <w14:schemeClr w14:val="tx1"/>
                  </w14:solidFill>
                </w14:textFill>
              </w:rPr>
            </w:pPr>
          </w:p>
        </w:tc>
        <w:tc>
          <w:tcPr>
            <w:tcW w:w="720" w:type="dxa"/>
            <w:vAlign w:val="center"/>
          </w:tcPr>
          <w:p w14:paraId="2B292D34">
            <w:pPr>
              <w:pStyle w:val="42"/>
              <w:rPr>
                <w:color w:val="000000" w:themeColor="text1"/>
                <w14:textFill>
                  <w14:solidFill>
                    <w14:schemeClr w14:val="tx1"/>
                  </w14:solidFill>
                </w14:textFill>
              </w:rPr>
            </w:pPr>
          </w:p>
        </w:tc>
      </w:tr>
      <w:tr w14:paraId="06E89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075C9FB4">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4C26FB00">
            <w:pPr>
              <w:pStyle w:val="42"/>
              <w:rPr>
                <w:color w:val="000000" w:themeColor="text1"/>
                <w14:textFill>
                  <w14:solidFill>
                    <w14:schemeClr w14:val="tx1"/>
                  </w14:solidFill>
                </w14:textFill>
              </w:rPr>
            </w:pPr>
          </w:p>
        </w:tc>
        <w:tc>
          <w:tcPr>
            <w:tcW w:w="898" w:type="dxa"/>
            <w:vAlign w:val="center"/>
          </w:tcPr>
          <w:p w14:paraId="2BDD700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426F31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）猫道系统进场时未对各类钢丝绳和各构配件规格、型号、尺寸和数量进行核对，扣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分；未检查钢丝绳、构件表面完好性，扣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AAD10E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）猫道系统中的钢结构施工完成后未办理专项验收手续，扣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073EA8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）猫道承重索和面网施工完成后未分别办理专项验收手续，扣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3AD58A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）猫道系统施工完成后未办理检查验收签证手续，扣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DB568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）验收未采用相关标准规定或经审批的表格形成量化记录，或未经责任人签字确认，扣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4169EB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）猫道验收合格后未在明显位置悬挂验收合格牌的，扣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3028559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E365334">
            <w:pPr>
              <w:pStyle w:val="42"/>
              <w:rPr>
                <w:color w:val="000000" w:themeColor="text1"/>
                <w14:textFill>
                  <w14:solidFill>
                    <w14:schemeClr w14:val="tx1"/>
                  </w14:solidFill>
                </w14:textFill>
              </w:rPr>
            </w:pPr>
          </w:p>
        </w:tc>
        <w:tc>
          <w:tcPr>
            <w:tcW w:w="720" w:type="dxa"/>
            <w:vAlign w:val="center"/>
          </w:tcPr>
          <w:p w14:paraId="0F4EB36F">
            <w:pPr>
              <w:pStyle w:val="42"/>
              <w:rPr>
                <w:color w:val="000000" w:themeColor="text1"/>
                <w14:textFill>
                  <w14:solidFill>
                    <w14:schemeClr w14:val="tx1"/>
                  </w14:solidFill>
                </w14:textFill>
              </w:rPr>
            </w:pPr>
          </w:p>
        </w:tc>
      </w:tr>
      <w:tr w14:paraId="3451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0D5251A">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5D789680">
            <w:pPr>
              <w:pStyle w:val="42"/>
              <w:rPr>
                <w:color w:val="000000" w:themeColor="text1"/>
                <w14:textFill>
                  <w14:solidFill>
                    <w14:schemeClr w14:val="tx1"/>
                  </w14:solidFill>
                </w14:textFill>
              </w:rPr>
            </w:pPr>
          </w:p>
        </w:tc>
        <w:tc>
          <w:tcPr>
            <w:tcW w:w="898" w:type="dxa"/>
            <w:vAlign w:val="center"/>
          </w:tcPr>
          <w:p w14:paraId="78573F8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使用与</w:t>
            </w:r>
          </w:p>
          <w:p w14:paraId="486EB5B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监测</w:t>
            </w:r>
          </w:p>
        </w:tc>
        <w:tc>
          <w:tcPr>
            <w:tcW w:w="5580" w:type="dxa"/>
            <w:vAlign w:val="center"/>
          </w:tcPr>
          <w:p w14:paraId="7E6CF78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）猫道使用中，钢丝绳、销轴、卡环、承重索锚固精轧螺纹钢筋及连接螺母等未处于完好状态，扣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2EB434A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）猫道使用前，未在显著位置悬挂猫道安全使用规程，扣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8A65AA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）主缆施工过程中未对称、平衡地将主缆放在猫道上面，或猫道上面的荷载不平衡偏差超过设计的规定，扣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285A8A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）猫道面网上的施工荷载超过猫道设计规定，扣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A0DA49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）未在猫道转索鞍处标记猫道承重索的位置，或未每日查看承重索的位移情况，扣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C4B56C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）猫道使用过程中未对猫道各部位的变形和位移进行监测，扣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3A7739D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）在承重索锚固的精轧螺纹钢筋上进行电焊、搭火作业，扣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E44948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）在猫道承重索上进行电焊、气割等作业，扣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F1C41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）雨雪天或风力超过猫道设计风力时进行主缆架设施工，扣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1154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）猫道现场使用单位未对其安全技术记录资料建立安全技术档案，扣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3D0D0F0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DA067D4">
            <w:pPr>
              <w:pStyle w:val="42"/>
              <w:rPr>
                <w:color w:val="000000" w:themeColor="text1"/>
                <w14:textFill>
                  <w14:solidFill>
                    <w14:schemeClr w14:val="tx1"/>
                  </w14:solidFill>
                </w14:textFill>
              </w:rPr>
            </w:pPr>
          </w:p>
        </w:tc>
        <w:tc>
          <w:tcPr>
            <w:tcW w:w="720" w:type="dxa"/>
            <w:vAlign w:val="center"/>
          </w:tcPr>
          <w:p w14:paraId="1366BCEF">
            <w:pPr>
              <w:pStyle w:val="42"/>
              <w:rPr>
                <w:color w:val="000000" w:themeColor="text1"/>
                <w14:textFill>
                  <w14:solidFill>
                    <w14:schemeClr w14:val="tx1"/>
                  </w14:solidFill>
                </w14:textFill>
              </w:rPr>
            </w:pPr>
          </w:p>
        </w:tc>
      </w:tr>
      <w:tr w14:paraId="3BBDE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5C48573">
            <w:pPr>
              <w:pStyle w:val="42"/>
              <w:rPr>
                <w:color w:val="000000" w:themeColor="text1"/>
                <w14:textFill>
                  <w14:solidFill>
                    <w14:schemeClr w14:val="tx1"/>
                  </w14:solidFill>
                </w14:textFill>
              </w:rPr>
            </w:pPr>
          </w:p>
        </w:tc>
        <w:tc>
          <w:tcPr>
            <w:tcW w:w="543" w:type="dxa"/>
            <w:vMerge w:val="continue"/>
          </w:tcPr>
          <w:p w14:paraId="7BCA1B13">
            <w:pPr>
              <w:pStyle w:val="42"/>
              <w:rPr>
                <w:color w:val="000000" w:themeColor="text1"/>
                <w14:textFill>
                  <w14:solidFill>
                    <w14:schemeClr w14:val="tx1"/>
                  </w14:solidFill>
                </w14:textFill>
              </w:rPr>
            </w:pPr>
          </w:p>
        </w:tc>
        <w:tc>
          <w:tcPr>
            <w:tcW w:w="6478" w:type="dxa"/>
            <w:gridSpan w:val="2"/>
            <w:vAlign w:val="center"/>
          </w:tcPr>
          <w:p w14:paraId="4D542EFB">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6C1DD243">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312D0211">
            <w:pPr>
              <w:pStyle w:val="42"/>
              <w:rPr>
                <w:color w:val="000000" w:themeColor="text1"/>
                <w14:textFill>
                  <w14:solidFill>
                    <w14:schemeClr w14:val="tx1"/>
                  </w14:solidFill>
                </w14:textFill>
              </w:rPr>
            </w:pPr>
          </w:p>
        </w:tc>
        <w:tc>
          <w:tcPr>
            <w:tcW w:w="720" w:type="dxa"/>
            <w:vAlign w:val="center"/>
          </w:tcPr>
          <w:p w14:paraId="3274CC83">
            <w:pPr>
              <w:pStyle w:val="42"/>
              <w:rPr>
                <w:color w:val="000000" w:themeColor="text1"/>
                <w14:textFill>
                  <w14:solidFill>
                    <w14:schemeClr w14:val="tx1"/>
                  </w14:solidFill>
                </w14:textFill>
              </w:rPr>
            </w:pPr>
          </w:p>
        </w:tc>
      </w:tr>
      <w:tr w14:paraId="60CE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78410A2B">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5E2789B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0FFB93D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598D22E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4148E0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354481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猫道面层</w:t>
            </w:r>
          </w:p>
        </w:tc>
        <w:tc>
          <w:tcPr>
            <w:tcW w:w="5580" w:type="dxa"/>
            <w:vAlign w:val="center"/>
          </w:tcPr>
          <w:p w14:paraId="378A62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）面层未牢固满铺面网，扣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4981F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）面网孔眼内切圆直径大于</w:t>
            </w:r>
            <w:r>
              <w:rPr>
                <w:color w:val="000000" w:themeColor="text1"/>
                <w14:textFill>
                  <w14:solidFill>
                    <w14:schemeClr w14:val="tx1"/>
                  </w14:solidFill>
                </w14:textFill>
              </w:rPr>
              <w:t>25mm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7AD6077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）猫道两侧的面层未按方案设计要求设置人行道，或未铺设防滑踏步，扣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7E194C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9D7E969">
            <w:pPr>
              <w:pStyle w:val="42"/>
              <w:rPr>
                <w:color w:val="000000" w:themeColor="text1"/>
                <w14:textFill>
                  <w14:solidFill>
                    <w14:schemeClr w14:val="tx1"/>
                  </w14:solidFill>
                </w14:textFill>
              </w:rPr>
            </w:pPr>
          </w:p>
        </w:tc>
        <w:tc>
          <w:tcPr>
            <w:tcW w:w="720" w:type="dxa"/>
            <w:vAlign w:val="center"/>
          </w:tcPr>
          <w:p w14:paraId="6D10850D">
            <w:pPr>
              <w:pStyle w:val="42"/>
              <w:rPr>
                <w:color w:val="000000" w:themeColor="text1"/>
                <w14:textFill>
                  <w14:solidFill>
                    <w14:schemeClr w14:val="tx1"/>
                  </w14:solidFill>
                </w14:textFill>
              </w:rPr>
            </w:pPr>
          </w:p>
        </w:tc>
      </w:tr>
      <w:tr w14:paraId="2F54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25B14D3">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B888A5B">
            <w:pPr>
              <w:pStyle w:val="42"/>
              <w:rPr>
                <w:color w:val="000000" w:themeColor="text1"/>
                <w14:textFill>
                  <w14:solidFill>
                    <w14:schemeClr w14:val="tx1"/>
                  </w14:solidFill>
                </w14:textFill>
              </w:rPr>
            </w:pPr>
          </w:p>
        </w:tc>
        <w:tc>
          <w:tcPr>
            <w:tcW w:w="898" w:type="dxa"/>
            <w:vAlign w:val="center"/>
          </w:tcPr>
          <w:p w14:paraId="0DFC0D5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2037A9B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）人员上下猫道未按标准要求设置专用通道，或通道未与既有结构进行可靠连接，扣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D4B35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）猫道两侧未按临边作业要求设置防护栏杆，或按规定设置扶手绳、踢脚绳和侧网，扣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9A9A3F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）跨（临）铁路、道路的猫道部分未设置能防止穿透的防护棚，扣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15E799C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56EED63">
            <w:pPr>
              <w:pStyle w:val="42"/>
              <w:rPr>
                <w:color w:val="000000" w:themeColor="text1"/>
                <w14:textFill>
                  <w14:solidFill>
                    <w14:schemeClr w14:val="tx1"/>
                  </w14:solidFill>
                </w14:textFill>
              </w:rPr>
            </w:pPr>
          </w:p>
        </w:tc>
        <w:tc>
          <w:tcPr>
            <w:tcW w:w="720" w:type="dxa"/>
            <w:vAlign w:val="center"/>
          </w:tcPr>
          <w:p w14:paraId="78C8C8B5">
            <w:pPr>
              <w:pStyle w:val="42"/>
              <w:rPr>
                <w:color w:val="000000" w:themeColor="text1"/>
                <w14:textFill>
                  <w14:solidFill>
                    <w14:schemeClr w14:val="tx1"/>
                  </w14:solidFill>
                </w14:textFill>
              </w:rPr>
            </w:pPr>
          </w:p>
        </w:tc>
      </w:tr>
      <w:tr w14:paraId="5682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DD2EC0F">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30A7D174">
            <w:pPr>
              <w:pStyle w:val="42"/>
              <w:rPr>
                <w:color w:val="000000" w:themeColor="text1"/>
                <w14:textFill>
                  <w14:solidFill>
                    <w14:schemeClr w14:val="tx1"/>
                  </w14:solidFill>
                </w14:textFill>
              </w:rPr>
            </w:pPr>
          </w:p>
        </w:tc>
        <w:tc>
          <w:tcPr>
            <w:tcW w:w="898" w:type="dxa"/>
            <w:vAlign w:val="center"/>
          </w:tcPr>
          <w:p w14:paraId="1273455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猫道系统拆除</w:t>
            </w:r>
          </w:p>
        </w:tc>
        <w:tc>
          <w:tcPr>
            <w:tcW w:w="5580" w:type="dxa"/>
            <w:vAlign w:val="center"/>
          </w:tcPr>
          <w:p w14:paraId="40D1E4C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）猫道拆除前，未向现场管理人员和作业人员进行安全技术交底，扣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CADDB5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）猫道拆除过程中未设专人统一指挥，扣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B97FF3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）拆除作业未按照拆除方案要求的顺序进行，扣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C6962B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）猫道拆除前未清理完猫道面层上面的杂物，扣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F41A6E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）当风力大于</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级时进行猫道拆除作业，扣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D0A1C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）猫道拆除过程中垂直下方有人员施工，或未设置警示牌，扣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2C5D645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B0FA882">
            <w:pPr>
              <w:pStyle w:val="42"/>
              <w:rPr>
                <w:color w:val="000000" w:themeColor="text1"/>
                <w14:textFill>
                  <w14:solidFill>
                    <w14:schemeClr w14:val="tx1"/>
                  </w14:solidFill>
                </w14:textFill>
              </w:rPr>
            </w:pPr>
          </w:p>
        </w:tc>
        <w:tc>
          <w:tcPr>
            <w:tcW w:w="720" w:type="dxa"/>
            <w:vAlign w:val="center"/>
          </w:tcPr>
          <w:p w14:paraId="26D7A0E3">
            <w:pPr>
              <w:pStyle w:val="42"/>
              <w:rPr>
                <w:color w:val="000000" w:themeColor="text1"/>
                <w14:textFill>
                  <w14:solidFill>
                    <w14:schemeClr w14:val="tx1"/>
                  </w14:solidFill>
                </w14:textFill>
              </w:rPr>
            </w:pPr>
          </w:p>
        </w:tc>
      </w:tr>
      <w:tr w14:paraId="06340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7FBB40D">
            <w:pPr>
              <w:pStyle w:val="42"/>
              <w:rPr>
                <w:color w:val="000000" w:themeColor="text1"/>
                <w14:textFill>
                  <w14:solidFill>
                    <w14:schemeClr w14:val="tx1"/>
                  </w14:solidFill>
                </w14:textFill>
              </w:rPr>
            </w:pPr>
          </w:p>
        </w:tc>
        <w:tc>
          <w:tcPr>
            <w:tcW w:w="543" w:type="dxa"/>
            <w:vMerge w:val="continue"/>
          </w:tcPr>
          <w:p w14:paraId="7AE141E6">
            <w:pPr>
              <w:pStyle w:val="42"/>
              <w:rPr>
                <w:color w:val="000000" w:themeColor="text1"/>
                <w14:textFill>
                  <w14:solidFill>
                    <w14:schemeClr w14:val="tx1"/>
                  </w14:solidFill>
                </w14:textFill>
              </w:rPr>
            </w:pPr>
          </w:p>
        </w:tc>
        <w:tc>
          <w:tcPr>
            <w:tcW w:w="6478" w:type="dxa"/>
            <w:gridSpan w:val="2"/>
            <w:vAlign w:val="center"/>
          </w:tcPr>
          <w:p w14:paraId="127214A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5522D9C3">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1693A71B">
            <w:pPr>
              <w:pStyle w:val="42"/>
              <w:rPr>
                <w:color w:val="000000" w:themeColor="text1"/>
                <w14:textFill>
                  <w14:solidFill>
                    <w14:schemeClr w14:val="tx1"/>
                  </w14:solidFill>
                </w14:textFill>
              </w:rPr>
            </w:pPr>
          </w:p>
        </w:tc>
        <w:tc>
          <w:tcPr>
            <w:tcW w:w="720" w:type="dxa"/>
            <w:vAlign w:val="center"/>
          </w:tcPr>
          <w:p w14:paraId="7273D1B5">
            <w:pPr>
              <w:pStyle w:val="42"/>
              <w:rPr>
                <w:color w:val="000000" w:themeColor="text1"/>
                <w14:textFill>
                  <w14:solidFill>
                    <w14:schemeClr w14:val="tx1"/>
                  </w14:solidFill>
                </w14:textFill>
              </w:rPr>
            </w:pPr>
          </w:p>
        </w:tc>
      </w:tr>
      <w:tr w14:paraId="12B5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9" w:hRule="atLeast"/>
          <w:jc w:val="center"/>
        </w:trPr>
        <w:tc>
          <w:tcPr>
            <w:tcW w:w="7560" w:type="dxa"/>
            <w:gridSpan w:val="4"/>
            <w:vAlign w:val="center"/>
          </w:tcPr>
          <w:p w14:paraId="1A43242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6704DA38">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4B02DD56">
            <w:pPr>
              <w:pStyle w:val="42"/>
              <w:rPr>
                <w:color w:val="000000" w:themeColor="text1"/>
                <w14:textFill>
                  <w14:solidFill>
                    <w14:schemeClr w14:val="tx1"/>
                  </w14:solidFill>
                </w14:textFill>
              </w:rPr>
            </w:pPr>
          </w:p>
        </w:tc>
        <w:tc>
          <w:tcPr>
            <w:tcW w:w="720" w:type="dxa"/>
            <w:vAlign w:val="center"/>
          </w:tcPr>
          <w:p w14:paraId="31D7816E">
            <w:pPr>
              <w:pStyle w:val="42"/>
              <w:rPr>
                <w:color w:val="000000" w:themeColor="text1"/>
                <w14:textFill>
                  <w14:solidFill>
                    <w14:schemeClr w14:val="tx1"/>
                  </w14:solidFill>
                </w14:textFill>
              </w:rPr>
            </w:pPr>
          </w:p>
        </w:tc>
      </w:tr>
    </w:tbl>
    <w:p w14:paraId="467BEDF7">
      <w:pPr>
        <w:pStyle w:val="3"/>
        <w:jc w:val="center"/>
        <w:rPr>
          <w:color w:val="000000" w:themeColor="text1"/>
          <w14:textFill>
            <w14:solidFill>
              <w14:schemeClr w14:val="tx1"/>
            </w14:solidFill>
          </w14:textFill>
        </w:rPr>
      </w:pPr>
      <w:bookmarkStart w:id="48" w:name="_Toc28105"/>
      <w:bookmarkStart w:id="49" w:name="_Toc1055"/>
      <w:bookmarkStart w:id="50" w:name="_Toc14252"/>
      <w:r>
        <w:rPr>
          <w:rFonts w:hint="eastAsia"/>
          <w:color w:val="000000" w:themeColor="text1"/>
          <w14:textFill>
            <w14:solidFill>
              <w14:schemeClr w14:val="tx1"/>
            </w14:solidFill>
          </w14:textFill>
        </w:rPr>
        <w:t>表1</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 xml:space="preserve">  钢管满堂</w:t>
      </w:r>
      <w:r>
        <w:rPr>
          <w:color w:val="000000" w:themeColor="text1"/>
          <w14:textFill>
            <w14:solidFill>
              <w14:schemeClr w14:val="tx1"/>
            </w14:solidFill>
          </w14:textFill>
        </w:rPr>
        <w:t>模板支撑架</w:t>
      </w:r>
      <w:r>
        <w:rPr>
          <w:rFonts w:hint="eastAsia"/>
          <w:color w:val="000000" w:themeColor="text1"/>
          <w14:textFill>
            <w14:solidFill>
              <w14:schemeClr w14:val="tx1"/>
            </w14:solidFill>
          </w14:textFill>
        </w:rPr>
        <w:t>检查</w:t>
      </w:r>
      <w:r>
        <w:rPr>
          <w:color w:val="000000" w:themeColor="text1"/>
          <w14:textFill>
            <w14:solidFill>
              <w14:schemeClr w14:val="tx1"/>
            </w14:solidFill>
          </w14:textFill>
        </w:rPr>
        <w:t>评分表</w:t>
      </w:r>
      <w:bookmarkEnd w:id="48"/>
      <w:bookmarkEnd w:id="49"/>
      <w:bookmarkEnd w:id="50"/>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CFFD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23765BA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3E66B04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2A44D9D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2054324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586193F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7310DCAF">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4A508B35">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1300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55F244A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2A7C548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0D587AE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1F6DB61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06A8249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0ADB78E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7C8FAC8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1）未按规定编制专项施工方案，或架体结构</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立杆地基承载力未经设计计算，扣10分；</w:t>
            </w:r>
            <w:r>
              <w:rPr>
                <w:rFonts w:hint="eastAsia"/>
                <w:color w:val="000000" w:themeColor="text1"/>
                <w14:textFill>
                  <w14:solidFill>
                    <w14:schemeClr w14:val="tx1"/>
                  </w14:solidFill>
                </w14:textFill>
              </w:rPr>
              <w:t>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6C3D7B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2）专项方案未按规定进行审核、审批，扣10分</w:t>
            </w:r>
          </w:p>
          <w:p w14:paraId="31431C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）超规模的支撑架专项施工方案，未按规定组织专家论证，扣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603DA1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3AF3F0C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1F61C101">
            <w:pPr>
              <w:pStyle w:val="42"/>
              <w:rPr>
                <w:color w:val="000000" w:themeColor="text1"/>
                <w14:textFill>
                  <w14:solidFill>
                    <w14:schemeClr w14:val="tx1"/>
                  </w14:solidFill>
                </w14:textFill>
              </w:rPr>
            </w:pPr>
          </w:p>
        </w:tc>
        <w:tc>
          <w:tcPr>
            <w:tcW w:w="720" w:type="dxa"/>
            <w:vAlign w:val="center"/>
          </w:tcPr>
          <w:p w14:paraId="2C9E229A">
            <w:pPr>
              <w:pStyle w:val="42"/>
              <w:rPr>
                <w:color w:val="000000" w:themeColor="text1"/>
                <w14:textFill>
                  <w14:solidFill>
                    <w14:schemeClr w14:val="tx1"/>
                  </w14:solidFill>
                </w14:textFill>
              </w:rPr>
            </w:pPr>
          </w:p>
        </w:tc>
      </w:tr>
      <w:tr w14:paraId="012CC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63282D6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74FED1F8">
            <w:pPr>
              <w:pStyle w:val="42"/>
              <w:rPr>
                <w:color w:val="000000" w:themeColor="text1"/>
                <w14:textFill>
                  <w14:solidFill>
                    <w14:schemeClr w14:val="tx1"/>
                  </w14:solidFill>
                </w14:textFill>
              </w:rPr>
            </w:pPr>
          </w:p>
        </w:tc>
        <w:tc>
          <w:tcPr>
            <w:tcW w:w="898" w:type="dxa"/>
            <w:vAlign w:val="center"/>
          </w:tcPr>
          <w:p w14:paraId="64440C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构配件材质</w:t>
            </w:r>
          </w:p>
        </w:tc>
        <w:tc>
          <w:tcPr>
            <w:tcW w:w="5580" w:type="dxa"/>
            <w:vAlign w:val="center"/>
          </w:tcPr>
          <w:p w14:paraId="5096E8F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）进场的钢管及构配件无质量合格证、产品性能检验报告，扣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89D6E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）钢管及构配件的规格、型号、材质或产品质量不符合标准要求，扣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55B7A8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）未对钢管壁厚进行抽检或钢管壁厚不符合标准要求，扣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5D84B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）所采用的扣件未进行复试或技术性能不符合标准要求，扣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3597C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）钢管弯曲、变形、锈蚀严重，扣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91F60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）焊缝不饱满或存在开焊，扣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68B50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5013A9A8">
            <w:pPr>
              <w:pStyle w:val="42"/>
              <w:rPr>
                <w:color w:val="000000" w:themeColor="text1"/>
                <w14:textFill>
                  <w14:solidFill>
                    <w14:schemeClr w14:val="tx1"/>
                  </w14:solidFill>
                </w14:textFill>
              </w:rPr>
            </w:pPr>
          </w:p>
        </w:tc>
        <w:tc>
          <w:tcPr>
            <w:tcW w:w="720" w:type="dxa"/>
            <w:vAlign w:val="center"/>
          </w:tcPr>
          <w:p w14:paraId="79B53EA2">
            <w:pPr>
              <w:pStyle w:val="42"/>
              <w:rPr>
                <w:color w:val="000000" w:themeColor="text1"/>
                <w14:textFill>
                  <w14:solidFill>
                    <w14:schemeClr w14:val="tx1"/>
                  </w14:solidFill>
                </w14:textFill>
              </w:rPr>
            </w:pPr>
          </w:p>
        </w:tc>
      </w:tr>
      <w:tr w14:paraId="4DB8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BCBD34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6B6EAF7F">
            <w:pPr>
              <w:pStyle w:val="42"/>
              <w:rPr>
                <w:color w:val="000000" w:themeColor="text1"/>
                <w14:textFill>
                  <w14:solidFill>
                    <w14:schemeClr w14:val="tx1"/>
                  </w14:solidFill>
                </w14:textFill>
              </w:rPr>
            </w:pPr>
          </w:p>
        </w:tc>
        <w:tc>
          <w:tcPr>
            <w:tcW w:w="898" w:type="dxa"/>
            <w:vAlign w:val="center"/>
          </w:tcPr>
          <w:p w14:paraId="1858D8A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地基基础</w:t>
            </w:r>
          </w:p>
        </w:tc>
        <w:tc>
          <w:tcPr>
            <w:tcW w:w="5580" w:type="dxa"/>
            <w:vAlign w:val="center"/>
          </w:tcPr>
          <w:p w14:paraId="2AB2959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）基础处理方式或承载力不满足专项施工方案要求，或地基未达到坚实、平整的要求，扣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4EE4A2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）立杆底部未按标准要求设置底座，每处扣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7FF0DA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）立杆底部未按照专项施工方案和标准的要求设置垫板或混凝土垫层，扣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98D620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）底座松动或立杆悬空，每处扣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754686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）排水设施不完善，或排水不畅通，扣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D396A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）当支撑架设在既有结构上时，未对既有结构的承载力进行验算，或未采取加固措施，扣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139451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FA81529">
            <w:pPr>
              <w:pStyle w:val="42"/>
              <w:rPr>
                <w:color w:val="000000" w:themeColor="text1"/>
                <w14:textFill>
                  <w14:solidFill>
                    <w14:schemeClr w14:val="tx1"/>
                  </w14:solidFill>
                </w14:textFill>
              </w:rPr>
            </w:pPr>
          </w:p>
        </w:tc>
        <w:tc>
          <w:tcPr>
            <w:tcW w:w="720" w:type="dxa"/>
            <w:vAlign w:val="center"/>
          </w:tcPr>
          <w:p w14:paraId="4942D52C">
            <w:pPr>
              <w:pStyle w:val="42"/>
              <w:rPr>
                <w:color w:val="000000" w:themeColor="text1"/>
                <w14:textFill>
                  <w14:solidFill>
                    <w14:schemeClr w14:val="tx1"/>
                  </w14:solidFill>
                </w14:textFill>
              </w:rPr>
            </w:pPr>
          </w:p>
        </w:tc>
      </w:tr>
      <w:tr w14:paraId="38BD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B60618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64EA6976">
            <w:pPr>
              <w:pStyle w:val="42"/>
              <w:rPr>
                <w:color w:val="000000" w:themeColor="text1"/>
                <w14:textFill>
                  <w14:solidFill>
                    <w14:schemeClr w14:val="tx1"/>
                  </w14:solidFill>
                </w14:textFill>
              </w:rPr>
            </w:pPr>
          </w:p>
        </w:tc>
        <w:tc>
          <w:tcPr>
            <w:tcW w:w="898" w:type="dxa"/>
            <w:vAlign w:val="center"/>
          </w:tcPr>
          <w:p w14:paraId="2BBF1BD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架体搭设</w:t>
            </w:r>
          </w:p>
        </w:tc>
        <w:tc>
          <w:tcPr>
            <w:tcW w:w="5580" w:type="dxa"/>
            <w:vAlign w:val="center"/>
          </w:tcPr>
          <w:p w14:paraId="308CBB2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）立杆纵向、横向间距或水平杆步距大于标准或专项施工方案要求，每处扣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4EE6C37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）立杆垂直度不满足标准要求，每处扣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9871E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）水平杆水平度、直线度不满足标准要求，每处扣</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w:t>
            </w:r>
          </w:p>
          <w:p w14:paraId="77A479F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）水平杆和扫地杆未连续贯通设置，每漏设一处扣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DAA84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）顶部未采用可调托撑传力，扣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BDB01E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）支撑架与起重设备、混凝土输送管、作业脚手架、物料周转平台等设施相连接，扣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1E26C87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B38E03D">
            <w:pPr>
              <w:pStyle w:val="42"/>
              <w:rPr>
                <w:color w:val="000000" w:themeColor="text1"/>
                <w14:textFill>
                  <w14:solidFill>
                    <w14:schemeClr w14:val="tx1"/>
                  </w14:solidFill>
                </w14:textFill>
              </w:rPr>
            </w:pPr>
          </w:p>
        </w:tc>
        <w:tc>
          <w:tcPr>
            <w:tcW w:w="720" w:type="dxa"/>
            <w:vAlign w:val="center"/>
          </w:tcPr>
          <w:p w14:paraId="23856576">
            <w:pPr>
              <w:pStyle w:val="42"/>
              <w:rPr>
                <w:color w:val="000000" w:themeColor="text1"/>
                <w14:textFill>
                  <w14:solidFill>
                    <w14:schemeClr w14:val="tx1"/>
                  </w14:solidFill>
                </w14:textFill>
              </w:rPr>
            </w:pPr>
          </w:p>
        </w:tc>
      </w:tr>
      <w:tr w14:paraId="6D07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A66B0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5C721599">
            <w:pPr>
              <w:pStyle w:val="42"/>
              <w:rPr>
                <w:color w:val="000000" w:themeColor="text1"/>
                <w14:textFill>
                  <w14:solidFill>
                    <w14:schemeClr w14:val="tx1"/>
                  </w14:solidFill>
                </w14:textFill>
              </w:rPr>
            </w:pPr>
          </w:p>
        </w:tc>
        <w:tc>
          <w:tcPr>
            <w:tcW w:w="898" w:type="dxa"/>
            <w:vAlign w:val="center"/>
          </w:tcPr>
          <w:p w14:paraId="094A185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架体稳定</w:t>
            </w:r>
          </w:p>
        </w:tc>
        <w:tc>
          <w:tcPr>
            <w:tcW w:w="5580" w:type="dxa"/>
            <w:vAlign w:val="center"/>
          </w:tcPr>
          <w:p w14:paraId="23A6C5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）支撑架扫地杆离地间距超过标准要求，扣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7AD4FB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）立杆伸出顶层水平杆中心线至支撑点的长度超过标准要求，扣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8AFBA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）未设置竖向剪刀撑或专用斜撑杆，扣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94CE49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）未设置水平剪刀撑或专用斜撑杆，扣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7169F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）剪刀撑或专用斜撑杆的设置位置、数量、间距不符合标准和专项施工方案要求，扣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DA4D8C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）支撑架高宽比超过标准要求时，未按标准要求将架体与既有结构连接或采用增加架体宽度的加强措施，扣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37967C4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076F30C">
            <w:pPr>
              <w:pStyle w:val="42"/>
              <w:rPr>
                <w:color w:val="000000" w:themeColor="text1"/>
                <w14:textFill>
                  <w14:solidFill>
                    <w14:schemeClr w14:val="tx1"/>
                  </w14:solidFill>
                </w14:textFill>
              </w:rPr>
            </w:pPr>
          </w:p>
        </w:tc>
        <w:tc>
          <w:tcPr>
            <w:tcW w:w="720" w:type="dxa"/>
            <w:vAlign w:val="center"/>
          </w:tcPr>
          <w:p w14:paraId="006D9308">
            <w:pPr>
              <w:pStyle w:val="42"/>
              <w:rPr>
                <w:color w:val="000000" w:themeColor="text1"/>
                <w14:textFill>
                  <w14:solidFill>
                    <w14:schemeClr w14:val="tx1"/>
                  </w14:solidFill>
                </w14:textFill>
              </w:rPr>
            </w:pPr>
          </w:p>
        </w:tc>
      </w:tr>
      <w:tr w14:paraId="5681F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D6EAC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7438D1BF">
            <w:pPr>
              <w:pStyle w:val="42"/>
              <w:rPr>
                <w:color w:val="000000" w:themeColor="text1"/>
                <w14:textFill>
                  <w14:solidFill>
                    <w14:schemeClr w14:val="tx1"/>
                  </w14:solidFill>
                </w14:textFill>
              </w:rPr>
            </w:pPr>
          </w:p>
        </w:tc>
        <w:tc>
          <w:tcPr>
            <w:tcW w:w="898" w:type="dxa"/>
            <w:vAlign w:val="center"/>
          </w:tcPr>
          <w:p w14:paraId="31F205F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4B48A7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）在原材料进场、基础完工、架体搭设完毕、安全设施安装完成各阶段未进行分阶段验收，扣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34224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）当需要进行预压时，未按标准要求对基础和架体实施预压，扣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5CC9E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）在支撑架搭设完毕、浇筑混凝土前，未办理完工验收手续，扣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D638D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）完工验收未形成记录，或未经责任人签字确认，扣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4B8A5A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）各阶段检查验收内容和指标未按标准要求进行量化，扣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60658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777AE06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55CAF99">
            <w:pPr>
              <w:pStyle w:val="42"/>
              <w:rPr>
                <w:color w:val="000000" w:themeColor="text1"/>
                <w14:textFill>
                  <w14:solidFill>
                    <w14:schemeClr w14:val="tx1"/>
                  </w14:solidFill>
                </w14:textFill>
              </w:rPr>
            </w:pPr>
          </w:p>
        </w:tc>
        <w:tc>
          <w:tcPr>
            <w:tcW w:w="720" w:type="dxa"/>
            <w:vAlign w:val="center"/>
          </w:tcPr>
          <w:p w14:paraId="18004E68">
            <w:pPr>
              <w:pStyle w:val="42"/>
              <w:rPr>
                <w:color w:val="000000" w:themeColor="text1"/>
                <w14:textFill>
                  <w14:solidFill>
                    <w14:schemeClr w14:val="tx1"/>
                  </w14:solidFill>
                </w14:textFill>
              </w:rPr>
            </w:pPr>
          </w:p>
        </w:tc>
      </w:tr>
      <w:tr w14:paraId="00BA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7C3C455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43" w:type="dxa"/>
            <w:vMerge w:val="continue"/>
            <w:vAlign w:val="center"/>
          </w:tcPr>
          <w:p w14:paraId="430E4F85">
            <w:pPr>
              <w:pStyle w:val="42"/>
              <w:rPr>
                <w:color w:val="000000" w:themeColor="text1"/>
                <w14:textFill>
                  <w14:solidFill>
                    <w14:schemeClr w14:val="tx1"/>
                  </w14:solidFill>
                </w14:textFill>
              </w:rPr>
            </w:pPr>
          </w:p>
        </w:tc>
        <w:tc>
          <w:tcPr>
            <w:tcW w:w="898" w:type="dxa"/>
            <w:vAlign w:val="center"/>
          </w:tcPr>
          <w:p w14:paraId="4202C6E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使用与监测</w:t>
            </w:r>
          </w:p>
        </w:tc>
        <w:tc>
          <w:tcPr>
            <w:tcW w:w="5580" w:type="dxa"/>
            <w:vAlign w:val="center"/>
          </w:tcPr>
          <w:p w14:paraId="2A143C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）混凝土浇筑顺序不符合标准和安全专项施工方案的要求，扣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BEC2D3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）作业层施工均布荷载或集中荷载超过设计允许范围，</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622A61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）当浇筑混凝土时，未对混凝土的堆积高度进行控制，扣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C01736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）支撑架未应按有关规定监测监控措施，或未在架体搭设、钢筋安装、混凝土浇捣过程中及混凝土终凝前后对基础沉降、模板支撑体系的位移进行监测监控，扣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1B5D9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）监测监控未记录监测点、监测时间、工况、监测项目和报警值，扣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7DF9E1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27E2B08">
            <w:pPr>
              <w:pStyle w:val="42"/>
              <w:rPr>
                <w:color w:val="000000" w:themeColor="text1"/>
                <w14:textFill>
                  <w14:solidFill>
                    <w14:schemeClr w14:val="tx1"/>
                  </w14:solidFill>
                </w14:textFill>
              </w:rPr>
            </w:pPr>
          </w:p>
        </w:tc>
        <w:tc>
          <w:tcPr>
            <w:tcW w:w="720" w:type="dxa"/>
            <w:vAlign w:val="center"/>
          </w:tcPr>
          <w:p w14:paraId="6561F7E9">
            <w:pPr>
              <w:pStyle w:val="42"/>
              <w:rPr>
                <w:color w:val="000000" w:themeColor="text1"/>
                <w14:textFill>
                  <w14:solidFill>
                    <w14:schemeClr w14:val="tx1"/>
                  </w14:solidFill>
                </w14:textFill>
              </w:rPr>
            </w:pPr>
          </w:p>
        </w:tc>
      </w:tr>
      <w:tr w14:paraId="309CA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5FF08CB">
            <w:pPr>
              <w:pStyle w:val="42"/>
              <w:rPr>
                <w:color w:val="000000" w:themeColor="text1"/>
                <w14:textFill>
                  <w14:solidFill>
                    <w14:schemeClr w14:val="tx1"/>
                  </w14:solidFill>
                </w14:textFill>
              </w:rPr>
            </w:pPr>
          </w:p>
        </w:tc>
        <w:tc>
          <w:tcPr>
            <w:tcW w:w="543" w:type="dxa"/>
            <w:vMerge w:val="continue"/>
          </w:tcPr>
          <w:p w14:paraId="68255073">
            <w:pPr>
              <w:pStyle w:val="42"/>
              <w:rPr>
                <w:color w:val="000000" w:themeColor="text1"/>
                <w14:textFill>
                  <w14:solidFill>
                    <w14:schemeClr w14:val="tx1"/>
                  </w14:solidFill>
                </w14:textFill>
              </w:rPr>
            </w:pPr>
          </w:p>
        </w:tc>
        <w:tc>
          <w:tcPr>
            <w:tcW w:w="6478" w:type="dxa"/>
            <w:gridSpan w:val="2"/>
            <w:vAlign w:val="center"/>
          </w:tcPr>
          <w:p w14:paraId="34709917">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4A19D3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3B8EA850">
            <w:pPr>
              <w:pStyle w:val="42"/>
              <w:rPr>
                <w:color w:val="000000" w:themeColor="text1"/>
                <w14:textFill>
                  <w14:solidFill>
                    <w14:schemeClr w14:val="tx1"/>
                  </w14:solidFill>
                </w14:textFill>
              </w:rPr>
            </w:pPr>
          </w:p>
        </w:tc>
        <w:tc>
          <w:tcPr>
            <w:tcW w:w="720" w:type="dxa"/>
            <w:vAlign w:val="center"/>
          </w:tcPr>
          <w:p w14:paraId="41AA1129">
            <w:pPr>
              <w:pStyle w:val="42"/>
              <w:rPr>
                <w:color w:val="000000" w:themeColor="text1"/>
                <w14:textFill>
                  <w14:solidFill>
                    <w14:schemeClr w14:val="tx1"/>
                  </w14:solidFill>
                </w14:textFill>
              </w:rPr>
            </w:pPr>
          </w:p>
        </w:tc>
      </w:tr>
      <w:tr w14:paraId="1757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220C205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5E4D5D3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7D7FABA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3A16D1B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19241E7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172F238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杆件连接</w:t>
            </w:r>
          </w:p>
        </w:tc>
        <w:tc>
          <w:tcPr>
            <w:tcW w:w="5580" w:type="dxa"/>
            <w:vAlign w:val="center"/>
          </w:tcPr>
          <w:p w14:paraId="4DD355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）节点组装时，扣件的扭紧力矩小于</w:t>
            </w:r>
            <w:r>
              <w:rPr>
                <w:color w:val="000000" w:themeColor="text1"/>
                <w14:textFill>
                  <w14:solidFill>
                    <w14:schemeClr w14:val="tx1"/>
                  </w14:solidFill>
                </w14:textFill>
              </w:rPr>
              <w:t>40</w:t>
            </w:r>
            <w:r>
              <w:rPr>
                <w:rFonts w:eastAsia="仿宋_GB2312"/>
                <w:color w:val="000000" w:themeColor="text1"/>
                <w:position w:val="-6"/>
                <w14:textFill>
                  <w14:solidFill>
                    <w14:schemeClr w14:val="tx1"/>
                  </w14:solidFill>
                </w14:textFill>
              </w:rPr>
              <w:object>
                <v:shape id="_x0000_i1026" o:spt="75" type="#_x0000_t75" style="height:11.2pt;width:20.55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8">
                  <o:LockedField>false</o:LockedField>
                </o:OLEObject>
              </w:object>
            </w:r>
            <w:r>
              <w:rPr>
                <w:rFonts w:hint="eastAsia"/>
                <w:color w:val="000000" w:themeColor="text1"/>
                <w14:textFill>
                  <w14:solidFill>
                    <w14:schemeClr w14:val="tx1"/>
                  </w14:solidFill>
                </w14:textFill>
              </w:rPr>
              <w:t>，碗扣节点未通过上碗扣和限位销锁紧水平杆，承插型盘扣式节点的插销未楔紧，每处扣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DCF7498">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）相邻立杆接头在同一步距内，每处扣</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w:t>
            </w:r>
          </w:p>
          <w:p w14:paraId="1DA3FF69">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）扣件式钢管脚手架的纵向水平杆搭接长度小于</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或固定不符合标准要求，每处扣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4D1B51B6">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）扣件式钢管脚手架立杆采用搭接接长，每处扣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2A3444C9">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）剪刀撑杆件的接长不符合标准要求，每处扣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4879A4EB">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）专用斜撑杆的两端未固定在纵、横向水平杆与立杆交汇的节点处，每处扣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3C908280">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）钢管扣件剪刀撑杆件的连接点距离架体主节点大于</w:t>
            </w:r>
            <w:r>
              <w:rPr>
                <w:color w:val="000000" w:themeColor="text1"/>
                <w14:textFill>
                  <w14:solidFill>
                    <w14:schemeClr w14:val="tx1"/>
                  </w14:solidFill>
                </w14:textFill>
              </w:rPr>
              <w:t>150mm</w:t>
            </w:r>
            <w:r>
              <w:rPr>
                <w:rFonts w:hint="eastAsia"/>
                <w:color w:val="000000" w:themeColor="text1"/>
                <w14:textFill>
                  <w14:solidFill>
                    <w14:schemeClr w14:val="tx1"/>
                  </w14:solidFill>
                </w14:textFill>
              </w:rPr>
              <w:t>，每处扣</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w:t>
            </w:r>
          </w:p>
          <w:p w14:paraId="7A2D61AF">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）架体与连墙件的连接点距离架体主节点大于</w:t>
            </w:r>
            <w:r>
              <w:rPr>
                <w:color w:val="000000" w:themeColor="text1"/>
                <w14:textFill>
                  <w14:solidFill>
                    <w14:schemeClr w14:val="tx1"/>
                  </w14:solidFill>
                </w14:textFill>
              </w:rPr>
              <w:t>300mm</w:t>
            </w:r>
            <w:r>
              <w:rPr>
                <w:rFonts w:hint="eastAsia"/>
                <w:color w:val="000000" w:themeColor="text1"/>
                <w14:textFill>
                  <w14:solidFill>
                    <w14:schemeClr w14:val="tx1"/>
                  </w14:solidFill>
                </w14:textFill>
              </w:rPr>
              <w:t>，每处扣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1FFF5C1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9A9FDCC">
            <w:pPr>
              <w:pStyle w:val="42"/>
              <w:rPr>
                <w:color w:val="000000" w:themeColor="text1"/>
                <w14:textFill>
                  <w14:solidFill>
                    <w14:schemeClr w14:val="tx1"/>
                  </w14:solidFill>
                </w14:textFill>
              </w:rPr>
            </w:pPr>
          </w:p>
        </w:tc>
        <w:tc>
          <w:tcPr>
            <w:tcW w:w="720" w:type="dxa"/>
            <w:vAlign w:val="center"/>
          </w:tcPr>
          <w:p w14:paraId="4F1C3FD7">
            <w:pPr>
              <w:pStyle w:val="42"/>
              <w:rPr>
                <w:color w:val="000000" w:themeColor="text1"/>
                <w14:textFill>
                  <w14:solidFill>
                    <w14:schemeClr w14:val="tx1"/>
                  </w14:solidFill>
                </w14:textFill>
              </w:rPr>
            </w:pPr>
          </w:p>
        </w:tc>
      </w:tr>
      <w:tr w14:paraId="7D259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ECBC91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646C13DD">
            <w:pPr>
              <w:pStyle w:val="42"/>
              <w:rPr>
                <w:color w:val="000000" w:themeColor="text1"/>
                <w14:textFill>
                  <w14:solidFill>
                    <w14:schemeClr w14:val="tx1"/>
                  </w14:solidFill>
                </w14:textFill>
              </w:rPr>
            </w:pPr>
          </w:p>
        </w:tc>
        <w:tc>
          <w:tcPr>
            <w:tcW w:w="898" w:type="dxa"/>
            <w:vAlign w:val="center"/>
          </w:tcPr>
          <w:p w14:paraId="18091D63">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1B6AD65F">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）无外脚手架时架体顶面四周未设置作业平台，扣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A5EA5EA">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）作业平台宽度、脚手板、挡脚板、安全立网、防护栏杆的设置不符合标准要求，每项扣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529F475">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）未设置供人员上下的专用通道，扣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A16C76F">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）通道设置不符合标准要求或未与既有结构进行可靠连接，扣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342A88DF">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）车行门洞通道未按标准要求设置顶部全封闭硬防护，扣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BB68212">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）门洞未按标准要求设置导向、限高、限宽、减速、防撞设施及标识，扣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51FB5AC4">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）当支撑架可能受水流影响时未采取防冲（撞）击的安全措施，扣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tc>
        <w:tc>
          <w:tcPr>
            <w:tcW w:w="720" w:type="dxa"/>
            <w:vAlign w:val="center"/>
          </w:tcPr>
          <w:p w14:paraId="0DDB6B5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112A349C">
            <w:pPr>
              <w:pStyle w:val="42"/>
              <w:rPr>
                <w:color w:val="000000" w:themeColor="text1"/>
                <w14:textFill>
                  <w14:solidFill>
                    <w14:schemeClr w14:val="tx1"/>
                  </w14:solidFill>
                </w14:textFill>
              </w:rPr>
            </w:pPr>
          </w:p>
        </w:tc>
        <w:tc>
          <w:tcPr>
            <w:tcW w:w="720" w:type="dxa"/>
            <w:vAlign w:val="center"/>
          </w:tcPr>
          <w:p w14:paraId="4EAF787B">
            <w:pPr>
              <w:pStyle w:val="42"/>
              <w:rPr>
                <w:color w:val="000000" w:themeColor="text1"/>
                <w14:textFill>
                  <w14:solidFill>
                    <w14:schemeClr w14:val="tx1"/>
                  </w14:solidFill>
                </w14:textFill>
              </w:rPr>
            </w:pPr>
          </w:p>
        </w:tc>
      </w:tr>
      <w:tr w14:paraId="7546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C3D1EC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22C2E055">
            <w:pPr>
              <w:pStyle w:val="42"/>
              <w:rPr>
                <w:color w:val="000000" w:themeColor="text1"/>
                <w14:textFill>
                  <w14:solidFill>
                    <w14:schemeClr w14:val="tx1"/>
                  </w14:solidFill>
                </w14:textFill>
              </w:rPr>
            </w:pPr>
          </w:p>
        </w:tc>
        <w:tc>
          <w:tcPr>
            <w:tcW w:w="898" w:type="dxa"/>
            <w:vAlign w:val="center"/>
          </w:tcPr>
          <w:p w14:paraId="6B9046E6">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底座、托撑与主次楞</w:t>
            </w:r>
          </w:p>
        </w:tc>
        <w:tc>
          <w:tcPr>
            <w:tcW w:w="5580" w:type="dxa"/>
            <w:vAlign w:val="center"/>
          </w:tcPr>
          <w:p w14:paraId="77341AD4">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）可调底座、托撑螺杆直径与立杆内径配合间隙大于</w:t>
            </w:r>
            <w:r>
              <w:rPr>
                <w:color w:val="000000" w:themeColor="text1"/>
                <w14:textFill>
                  <w14:solidFill>
                    <w14:schemeClr w14:val="tx1"/>
                  </w14:solidFill>
                </w14:textFill>
              </w:rPr>
              <w:t>2.5mm</w:t>
            </w:r>
            <w:r>
              <w:rPr>
                <w:rFonts w:hint="eastAsia"/>
                <w:color w:val="000000" w:themeColor="text1"/>
                <w14:textFill>
                  <w14:solidFill>
                    <w14:schemeClr w14:val="tx1"/>
                  </w14:solidFill>
                </w14:textFill>
              </w:rPr>
              <w:t>，每处扣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7457BFF">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）螺杆与螺母的啮合长度少于</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扣，每处扣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5CD8C7E">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）螺杆插入立杆内的长度小于</w:t>
            </w:r>
            <w:r>
              <w:rPr>
                <w:color w:val="000000" w:themeColor="text1"/>
                <w14:textFill>
                  <w14:solidFill>
                    <w14:schemeClr w14:val="tx1"/>
                  </w14:solidFill>
                </w14:textFill>
              </w:rPr>
              <w:t>150mm</w:t>
            </w:r>
            <w:r>
              <w:rPr>
                <w:rFonts w:hint="eastAsia"/>
                <w:color w:val="000000" w:themeColor="text1"/>
                <w14:textFill>
                  <w14:solidFill>
                    <w14:schemeClr w14:val="tx1"/>
                  </w14:solidFill>
                </w14:textFill>
              </w:rPr>
              <w:t>，每处扣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4D23559">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）主楞或次楞规格、型号、接长不符合标准要求，扣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534975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6495D9B3">
            <w:pPr>
              <w:pStyle w:val="42"/>
              <w:rPr>
                <w:color w:val="000000" w:themeColor="text1"/>
                <w14:textFill>
                  <w14:solidFill>
                    <w14:schemeClr w14:val="tx1"/>
                  </w14:solidFill>
                </w14:textFill>
              </w:rPr>
            </w:pPr>
          </w:p>
        </w:tc>
        <w:tc>
          <w:tcPr>
            <w:tcW w:w="720" w:type="dxa"/>
            <w:vAlign w:val="center"/>
          </w:tcPr>
          <w:p w14:paraId="1449FE3C">
            <w:pPr>
              <w:pStyle w:val="42"/>
              <w:rPr>
                <w:color w:val="000000" w:themeColor="text1"/>
                <w14:textFill>
                  <w14:solidFill>
                    <w14:schemeClr w14:val="tx1"/>
                  </w14:solidFill>
                </w14:textFill>
              </w:rPr>
            </w:pPr>
          </w:p>
        </w:tc>
      </w:tr>
      <w:tr w14:paraId="35D0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3C2EAE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171B4A9B">
            <w:pPr>
              <w:pStyle w:val="42"/>
              <w:rPr>
                <w:color w:val="000000" w:themeColor="text1"/>
                <w14:textFill>
                  <w14:solidFill>
                    <w14:schemeClr w14:val="tx1"/>
                  </w14:solidFill>
                </w14:textFill>
              </w:rPr>
            </w:pPr>
          </w:p>
        </w:tc>
        <w:tc>
          <w:tcPr>
            <w:tcW w:w="898" w:type="dxa"/>
            <w:vAlign w:val="center"/>
          </w:tcPr>
          <w:p w14:paraId="0279DE2A">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支撑架拆除</w:t>
            </w:r>
          </w:p>
        </w:tc>
        <w:tc>
          <w:tcPr>
            <w:tcW w:w="5580" w:type="dxa"/>
            <w:vAlign w:val="center"/>
          </w:tcPr>
          <w:p w14:paraId="7A2C7A39">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）架体拆除前未进行拆除安全技术交底，扣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47EF5A18">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）支撑架拆除前未确认混凝土达到拆模强度要求，扣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DB59E0">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）支撑架拆除未填写拆模申请单并履行拆模审批手续，扣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8222353">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）预应力混凝土结构的支撑架在建立预应力前拆除，扣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7D8586C">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）拆除作业未按分层、分段、由上至下的顺序进行，扣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9A3D33A">
            <w:pPr>
              <w:pStyle w:val="42"/>
              <w:keepNext/>
              <w:keepLines/>
              <w:spacing w:before="156" w:beforeLines="50" w:after="156" w:afterLines="50"/>
              <w:jc w:val="left"/>
              <w:outlineLvl w:val="0"/>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）支撑架拆除未按规定设置警戒区或未设专人监护，扣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1B45ADD">
            <w:pPr>
              <w:pStyle w:val="42"/>
              <w:rPr>
                <w:color w:val="000000" w:themeColor="text1"/>
                <w14:textFill>
                  <w14:solidFill>
                    <w14:schemeClr w14:val="tx1"/>
                  </w14:solidFill>
                </w14:textFill>
              </w:rPr>
            </w:pPr>
          </w:p>
        </w:tc>
        <w:tc>
          <w:tcPr>
            <w:tcW w:w="720" w:type="dxa"/>
            <w:vAlign w:val="center"/>
          </w:tcPr>
          <w:p w14:paraId="4E59EF30">
            <w:pPr>
              <w:pStyle w:val="42"/>
              <w:rPr>
                <w:color w:val="000000" w:themeColor="text1"/>
                <w14:textFill>
                  <w14:solidFill>
                    <w14:schemeClr w14:val="tx1"/>
                  </w14:solidFill>
                </w14:textFill>
              </w:rPr>
            </w:pPr>
          </w:p>
        </w:tc>
        <w:tc>
          <w:tcPr>
            <w:tcW w:w="720" w:type="dxa"/>
            <w:vAlign w:val="center"/>
          </w:tcPr>
          <w:p w14:paraId="1CA7CBF4">
            <w:pPr>
              <w:pStyle w:val="42"/>
              <w:rPr>
                <w:color w:val="000000" w:themeColor="text1"/>
                <w14:textFill>
                  <w14:solidFill>
                    <w14:schemeClr w14:val="tx1"/>
                  </w14:solidFill>
                </w14:textFill>
              </w:rPr>
            </w:pPr>
          </w:p>
        </w:tc>
      </w:tr>
      <w:tr w14:paraId="36D2D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32FEF90">
            <w:pPr>
              <w:pStyle w:val="42"/>
              <w:rPr>
                <w:color w:val="000000" w:themeColor="text1"/>
                <w14:textFill>
                  <w14:solidFill>
                    <w14:schemeClr w14:val="tx1"/>
                  </w14:solidFill>
                </w14:textFill>
              </w:rPr>
            </w:pPr>
          </w:p>
        </w:tc>
        <w:tc>
          <w:tcPr>
            <w:tcW w:w="543" w:type="dxa"/>
            <w:vMerge w:val="continue"/>
          </w:tcPr>
          <w:p w14:paraId="01241889">
            <w:pPr>
              <w:pStyle w:val="42"/>
              <w:rPr>
                <w:color w:val="000000" w:themeColor="text1"/>
                <w14:textFill>
                  <w14:solidFill>
                    <w14:schemeClr w14:val="tx1"/>
                  </w14:solidFill>
                </w14:textFill>
              </w:rPr>
            </w:pPr>
          </w:p>
        </w:tc>
        <w:tc>
          <w:tcPr>
            <w:tcW w:w="6478" w:type="dxa"/>
            <w:gridSpan w:val="2"/>
            <w:vAlign w:val="center"/>
          </w:tcPr>
          <w:p w14:paraId="0B24FF2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  计</w:t>
            </w:r>
          </w:p>
        </w:tc>
        <w:tc>
          <w:tcPr>
            <w:tcW w:w="720" w:type="dxa"/>
            <w:vAlign w:val="center"/>
          </w:tcPr>
          <w:p w14:paraId="46CF617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621705D1">
            <w:pPr>
              <w:pStyle w:val="42"/>
              <w:rPr>
                <w:color w:val="000000" w:themeColor="text1"/>
                <w14:textFill>
                  <w14:solidFill>
                    <w14:schemeClr w14:val="tx1"/>
                  </w14:solidFill>
                </w14:textFill>
              </w:rPr>
            </w:pPr>
          </w:p>
        </w:tc>
        <w:tc>
          <w:tcPr>
            <w:tcW w:w="720" w:type="dxa"/>
            <w:vAlign w:val="center"/>
          </w:tcPr>
          <w:p w14:paraId="27AF08BD">
            <w:pPr>
              <w:pStyle w:val="42"/>
              <w:rPr>
                <w:color w:val="000000" w:themeColor="text1"/>
                <w14:textFill>
                  <w14:solidFill>
                    <w14:schemeClr w14:val="tx1"/>
                  </w14:solidFill>
                </w14:textFill>
              </w:rPr>
            </w:pPr>
          </w:p>
        </w:tc>
      </w:tr>
      <w:tr w14:paraId="3E918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4432A2BD">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5AD395C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0CC8C411">
            <w:pPr>
              <w:pStyle w:val="42"/>
              <w:rPr>
                <w:color w:val="000000" w:themeColor="text1"/>
                <w14:textFill>
                  <w14:solidFill>
                    <w14:schemeClr w14:val="tx1"/>
                  </w14:solidFill>
                </w14:textFill>
              </w:rPr>
            </w:pPr>
          </w:p>
        </w:tc>
        <w:tc>
          <w:tcPr>
            <w:tcW w:w="720" w:type="dxa"/>
            <w:vAlign w:val="center"/>
          </w:tcPr>
          <w:p w14:paraId="16676EBD">
            <w:pPr>
              <w:pStyle w:val="42"/>
              <w:rPr>
                <w:color w:val="000000" w:themeColor="text1"/>
                <w14:textFill>
                  <w14:solidFill>
                    <w14:schemeClr w14:val="tx1"/>
                  </w14:solidFill>
                </w14:textFill>
              </w:rPr>
            </w:pPr>
          </w:p>
        </w:tc>
      </w:tr>
    </w:tbl>
    <w:p w14:paraId="27AECCC8">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1" w:name="_Toc17949"/>
      <w:bookmarkStart w:id="52" w:name="_Toc24809"/>
      <w:bookmarkStart w:id="53" w:name="_Toc24930"/>
      <w:r>
        <w:rPr>
          <w:rFonts w:hint="eastAsia"/>
          <w:color w:val="000000" w:themeColor="text1"/>
          <w14:textFill>
            <w14:solidFill>
              <w14:schemeClr w14:val="tx1"/>
            </w14:solidFill>
          </w14:textFill>
        </w:rPr>
        <w:t>表1</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 xml:space="preserve">  梁柱式模板支撑架检查</w:t>
      </w:r>
      <w:r>
        <w:rPr>
          <w:color w:val="000000" w:themeColor="text1"/>
          <w14:textFill>
            <w14:solidFill>
              <w14:schemeClr w14:val="tx1"/>
            </w14:solidFill>
          </w14:textFill>
        </w:rPr>
        <w:t>评分表</w:t>
      </w:r>
      <w:bookmarkEnd w:id="51"/>
      <w:bookmarkEnd w:id="52"/>
      <w:bookmarkEnd w:id="53"/>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C94F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1F41CCF9">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403BDA00">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0421A619">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52CB062F">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6BBD206C">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6A695AC7">
            <w:pPr>
              <w:pStyle w:val="42"/>
              <w:keepNext/>
              <w:keepLines/>
              <w:spacing w:before="156" w:beforeLines="50" w:after="156" w:afterLines="50"/>
              <w:outlineLvl w:val="0"/>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07C81420">
            <w:pPr>
              <w:pStyle w:val="42"/>
              <w:keepNext/>
              <w:keepLines/>
              <w:spacing w:before="156" w:beforeLines="50" w:after="156" w:afterLines="50"/>
              <w:outlineLvl w:val="0"/>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7BCEC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0219880F">
            <w:pPr>
              <w:pStyle w:val="42"/>
              <w:keepNext/>
              <w:keepLines/>
              <w:spacing w:before="156" w:beforeLines="50" w:after="156" w:afterLines="50"/>
              <w:outlineLvl w:val="0"/>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55581EC1">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4EB47A62">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4F2C8A80">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1DC7DBCE">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7A62F658">
            <w:pPr>
              <w:pStyle w:val="42"/>
              <w:keepNext/>
              <w:keepLines/>
              <w:spacing w:before="156" w:beforeLines="50" w:after="156" w:afterLines="50"/>
              <w:outlineLvl w:val="0"/>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34BB4F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234006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）未编制设计文件，扣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42FE07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）未对支架结构、构件、地基基础进行设计计算，扣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107D78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）设计文件中图纸或计算书不齐全，扣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74A26D1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C1CA07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）超规模的支架，其专项施工方案未按规定组织专家论证，扣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DB994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6A81AEFF">
            <w:pPr>
              <w:pStyle w:val="42"/>
              <w:keepNext/>
              <w:keepLines/>
              <w:spacing w:before="156" w:beforeLines="50" w:after="156" w:afterLines="50"/>
              <w:outlineLvl w:val="0"/>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F9A346D">
            <w:pPr>
              <w:pStyle w:val="42"/>
              <w:rPr>
                <w:color w:val="000000" w:themeColor="text1"/>
                <w14:textFill>
                  <w14:solidFill>
                    <w14:schemeClr w14:val="tx1"/>
                  </w14:solidFill>
                </w14:textFill>
              </w:rPr>
            </w:pPr>
          </w:p>
        </w:tc>
        <w:tc>
          <w:tcPr>
            <w:tcW w:w="720" w:type="dxa"/>
            <w:vAlign w:val="center"/>
          </w:tcPr>
          <w:p w14:paraId="5A2A8B18">
            <w:pPr>
              <w:pStyle w:val="42"/>
              <w:rPr>
                <w:color w:val="000000" w:themeColor="text1"/>
                <w14:textFill>
                  <w14:solidFill>
                    <w14:schemeClr w14:val="tx1"/>
                  </w14:solidFill>
                </w14:textFill>
              </w:rPr>
            </w:pPr>
          </w:p>
        </w:tc>
      </w:tr>
      <w:tr w14:paraId="40C6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3F1A2A6F">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1FA715F">
            <w:pPr>
              <w:pStyle w:val="42"/>
              <w:rPr>
                <w:color w:val="000000" w:themeColor="text1"/>
                <w14:textFill>
                  <w14:solidFill>
                    <w14:schemeClr w14:val="tx1"/>
                  </w14:solidFill>
                </w14:textFill>
              </w:rPr>
            </w:pPr>
          </w:p>
        </w:tc>
        <w:tc>
          <w:tcPr>
            <w:tcW w:w="898" w:type="dxa"/>
            <w:vAlign w:val="center"/>
          </w:tcPr>
          <w:p w14:paraId="202FB93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构配件材质</w:t>
            </w:r>
          </w:p>
        </w:tc>
        <w:tc>
          <w:tcPr>
            <w:tcW w:w="5580" w:type="dxa"/>
            <w:vAlign w:val="center"/>
          </w:tcPr>
          <w:p w14:paraId="45CC88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）构配件无质量合格证、产品性能检验报告，扣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28A21C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）构配件品种、规格、型号、材质不符合专项施工方案和有关标准要求，扣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631C8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）所采用的常备式定型钢构件的质量不符合相关使用手册的要求，扣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396A71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）常备式定型钢构件无使用说明书等技术文件，扣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91FFD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）主体结构构件、连接件有显著的变形、超标的挠度或严重锈蚀剥皮，扣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D641F2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F1C7013">
            <w:pPr>
              <w:pStyle w:val="42"/>
              <w:rPr>
                <w:color w:val="000000" w:themeColor="text1"/>
                <w14:textFill>
                  <w14:solidFill>
                    <w14:schemeClr w14:val="tx1"/>
                  </w14:solidFill>
                </w14:textFill>
              </w:rPr>
            </w:pPr>
          </w:p>
        </w:tc>
        <w:tc>
          <w:tcPr>
            <w:tcW w:w="720" w:type="dxa"/>
            <w:vAlign w:val="center"/>
          </w:tcPr>
          <w:p w14:paraId="67DB724E">
            <w:pPr>
              <w:pStyle w:val="42"/>
              <w:rPr>
                <w:color w:val="000000" w:themeColor="text1"/>
                <w14:textFill>
                  <w14:solidFill>
                    <w14:schemeClr w14:val="tx1"/>
                  </w14:solidFill>
                </w14:textFill>
              </w:rPr>
            </w:pPr>
          </w:p>
        </w:tc>
      </w:tr>
      <w:tr w14:paraId="70BA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63E9951">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528382D4">
            <w:pPr>
              <w:pStyle w:val="42"/>
              <w:rPr>
                <w:color w:val="000000" w:themeColor="text1"/>
                <w14:textFill>
                  <w14:solidFill>
                    <w14:schemeClr w14:val="tx1"/>
                  </w14:solidFill>
                </w14:textFill>
              </w:rPr>
            </w:pPr>
          </w:p>
        </w:tc>
        <w:tc>
          <w:tcPr>
            <w:tcW w:w="898" w:type="dxa"/>
            <w:vAlign w:val="center"/>
          </w:tcPr>
          <w:p w14:paraId="2994DC3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基础</w:t>
            </w:r>
          </w:p>
        </w:tc>
        <w:tc>
          <w:tcPr>
            <w:tcW w:w="5580" w:type="dxa"/>
            <w:vAlign w:val="center"/>
          </w:tcPr>
          <w:p w14:paraId="70323C1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）软弱地基未按相关标准的规定进行处理，扣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137DE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）地基承载力无检测报告，或承载力特征值不符合专项方案的要求，扣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E6CB0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）基础型式、尺寸、材料不符合专项施工方案的要求，扣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0FD9F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）基础周围未按专项施工方案的要求设置防、排水措施，扣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559650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）基础预埋件的设置不符合专项方案的要求，扣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D337F4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BBC196A">
            <w:pPr>
              <w:pStyle w:val="42"/>
              <w:rPr>
                <w:color w:val="000000" w:themeColor="text1"/>
                <w14:textFill>
                  <w14:solidFill>
                    <w14:schemeClr w14:val="tx1"/>
                  </w14:solidFill>
                </w14:textFill>
              </w:rPr>
            </w:pPr>
          </w:p>
        </w:tc>
        <w:tc>
          <w:tcPr>
            <w:tcW w:w="720" w:type="dxa"/>
            <w:vAlign w:val="center"/>
          </w:tcPr>
          <w:p w14:paraId="4891BB15">
            <w:pPr>
              <w:pStyle w:val="42"/>
              <w:rPr>
                <w:color w:val="000000" w:themeColor="text1"/>
                <w14:textFill>
                  <w14:solidFill>
                    <w14:schemeClr w14:val="tx1"/>
                  </w14:solidFill>
                </w14:textFill>
              </w:rPr>
            </w:pPr>
          </w:p>
        </w:tc>
      </w:tr>
      <w:tr w14:paraId="65CB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217B07C">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1E262AA1">
            <w:pPr>
              <w:pStyle w:val="42"/>
              <w:rPr>
                <w:color w:val="000000" w:themeColor="text1"/>
                <w14:textFill>
                  <w14:solidFill>
                    <w14:schemeClr w14:val="tx1"/>
                  </w14:solidFill>
                </w14:textFill>
              </w:rPr>
            </w:pPr>
          </w:p>
        </w:tc>
        <w:tc>
          <w:tcPr>
            <w:tcW w:w="898" w:type="dxa"/>
            <w:vAlign w:val="center"/>
          </w:tcPr>
          <w:p w14:paraId="62288A2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立柱或托架构造</w:t>
            </w:r>
          </w:p>
        </w:tc>
        <w:tc>
          <w:tcPr>
            <w:tcW w:w="5580" w:type="dxa"/>
            <w:vAlign w:val="center"/>
          </w:tcPr>
          <w:p w14:paraId="03D54DA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）立柱设置位置不符合专项施工方案要求，扣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0089E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）立柱柱身垂直度大于立柱高度的</w:t>
            </w:r>
            <w:r>
              <w:rPr>
                <w:color w:val="000000" w:themeColor="text1"/>
                <w14:textFill>
                  <w14:solidFill>
                    <w14:schemeClr w14:val="tx1"/>
                  </w14:solidFill>
                </w14:textFill>
              </w:rPr>
              <w:t>1/500</w:t>
            </w:r>
            <w:r>
              <w:rPr>
                <w:rFonts w:hint="eastAsia"/>
                <w:color w:val="000000" w:themeColor="text1"/>
                <w14:textFill>
                  <w14:solidFill>
                    <w14:schemeClr w14:val="tx1"/>
                  </w14:solidFill>
                </w14:textFill>
              </w:rPr>
              <w:t>，或大于</w:t>
            </w:r>
            <w:r>
              <w:rPr>
                <w:color w:val="000000" w:themeColor="text1"/>
                <w14:textFill>
                  <w14:solidFill>
                    <w14:schemeClr w14:val="tx1"/>
                  </w14:solidFill>
                </w14:textFill>
              </w:rPr>
              <w:t>50mm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2C8127E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）相邻立柱间的横向连接系、立柱与既有结构的连接件的位置和设置数量不符合专项施工方案的要求，扣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76C4B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）格构柱的缀件的位置或设置数量、节点连接不符合专项施工方案的要求，扣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3A88A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）立柱柱头和柱脚未按照专项施工方案的有求作加强处理，或与上部横梁、下部基础紧密不接触、连接不牢固。扣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382F2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）托架的附墩连接方式和构造不符合专项施工方案的规定，扣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CE9F49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05EE1FE">
            <w:pPr>
              <w:pStyle w:val="42"/>
              <w:rPr>
                <w:color w:val="000000" w:themeColor="text1"/>
                <w14:textFill>
                  <w14:solidFill>
                    <w14:schemeClr w14:val="tx1"/>
                  </w14:solidFill>
                </w14:textFill>
              </w:rPr>
            </w:pPr>
          </w:p>
        </w:tc>
        <w:tc>
          <w:tcPr>
            <w:tcW w:w="720" w:type="dxa"/>
            <w:vAlign w:val="center"/>
          </w:tcPr>
          <w:p w14:paraId="20987DB5">
            <w:pPr>
              <w:pStyle w:val="42"/>
              <w:rPr>
                <w:color w:val="000000" w:themeColor="text1"/>
                <w14:textFill>
                  <w14:solidFill>
                    <w14:schemeClr w14:val="tx1"/>
                  </w14:solidFill>
                </w14:textFill>
              </w:rPr>
            </w:pPr>
          </w:p>
        </w:tc>
      </w:tr>
      <w:tr w14:paraId="6A7B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772D5E85">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4EA88E85">
            <w:pPr>
              <w:pStyle w:val="42"/>
              <w:rPr>
                <w:color w:val="000000" w:themeColor="text1"/>
                <w14:textFill>
                  <w14:solidFill>
                    <w14:schemeClr w14:val="tx1"/>
                  </w14:solidFill>
                </w14:textFill>
              </w:rPr>
            </w:pPr>
          </w:p>
        </w:tc>
        <w:tc>
          <w:tcPr>
            <w:tcW w:w="898" w:type="dxa"/>
            <w:vAlign w:val="center"/>
          </w:tcPr>
          <w:p w14:paraId="564ED87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纵梁和横梁构造</w:t>
            </w:r>
          </w:p>
        </w:tc>
        <w:tc>
          <w:tcPr>
            <w:tcW w:w="5580" w:type="dxa"/>
            <w:vAlign w:val="center"/>
          </w:tcPr>
          <w:p w14:paraId="39CED39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）纵横梁的设置位置、间距不符合专项施工方案的要求，扣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0CADAC4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）在有较大集中荷载的型钢纵、横梁支承位置未按专项施工方案的规定设置支承加劲肋，或加劲肋与纵、横梁连接不牢固，扣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2007F97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）型钢纵梁间未设置横向连接系将同跨内全部纵梁连接成整体，扣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985E7E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）桁架梁的相邻桁片间未设置通长横向连接系将同跨内全部纵梁连接成整体，扣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2AFBF9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）贝雷梁两端及支承位置均应设置通长横向连接系扣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分，通长横向连接系的间距大于</w:t>
            </w:r>
            <w:r>
              <w:rPr>
                <w:color w:val="000000" w:themeColor="text1"/>
                <w14:textFill>
                  <w14:solidFill>
                    <w14:schemeClr w14:val="tx1"/>
                  </w14:solidFill>
                </w14:textFill>
              </w:rPr>
              <w:t>9m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016CB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）当桁架梁支承位置不在其主节点上时，以及在剪力较大的支座附近未按专项施工方案的要求对桁架竖杆或斜杆进行加强，扣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1F0D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横梁端部未设置用于纵横梁移除的加长段。</w:t>
            </w:r>
          </w:p>
        </w:tc>
        <w:tc>
          <w:tcPr>
            <w:tcW w:w="720" w:type="dxa"/>
            <w:vAlign w:val="center"/>
          </w:tcPr>
          <w:p w14:paraId="48BFB67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4629AFD">
            <w:pPr>
              <w:pStyle w:val="42"/>
              <w:rPr>
                <w:color w:val="000000" w:themeColor="text1"/>
                <w14:textFill>
                  <w14:solidFill>
                    <w14:schemeClr w14:val="tx1"/>
                  </w14:solidFill>
                </w14:textFill>
              </w:rPr>
            </w:pPr>
          </w:p>
        </w:tc>
        <w:tc>
          <w:tcPr>
            <w:tcW w:w="720" w:type="dxa"/>
            <w:vAlign w:val="center"/>
          </w:tcPr>
          <w:p w14:paraId="445E2EC2">
            <w:pPr>
              <w:pStyle w:val="42"/>
              <w:rPr>
                <w:color w:val="000000" w:themeColor="text1"/>
                <w14:textFill>
                  <w14:solidFill>
                    <w14:schemeClr w14:val="tx1"/>
                  </w14:solidFill>
                </w14:textFill>
              </w:rPr>
            </w:pPr>
          </w:p>
        </w:tc>
      </w:tr>
      <w:tr w14:paraId="1444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A12C389">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31BE0594">
            <w:pPr>
              <w:pStyle w:val="42"/>
              <w:rPr>
                <w:color w:val="000000" w:themeColor="text1"/>
                <w14:textFill>
                  <w14:solidFill>
                    <w14:schemeClr w14:val="tx1"/>
                  </w14:solidFill>
                </w14:textFill>
              </w:rPr>
            </w:pPr>
          </w:p>
        </w:tc>
        <w:tc>
          <w:tcPr>
            <w:tcW w:w="898" w:type="dxa"/>
            <w:vAlign w:val="center"/>
          </w:tcPr>
          <w:p w14:paraId="72D4986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0D25DA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）在原材料进场、基础完工、架体搭设完毕、安全设施安装完成各阶段未进行分阶段验收，扣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F244A4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）基础和架体未按相关规定进行预压，扣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30A538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）在支撑架搭设完毕、浇筑混凝土前，未办理完工验收手续，扣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2CFF42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）完工验收未形成记录，或未经责任人签字确认，扣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FD4DF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）各阶段检查验收内容和指标未按标准要求进行量化，扣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E9B40A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5E91E09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28F1DFC">
            <w:pPr>
              <w:pStyle w:val="42"/>
              <w:rPr>
                <w:color w:val="000000" w:themeColor="text1"/>
                <w14:textFill>
                  <w14:solidFill>
                    <w14:schemeClr w14:val="tx1"/>
                  </w14:solidFill>
                </w14:textFill>
              </w:rPr>
            </w:pPr>
          </w:p>
        </w:tc>
        <w:tc>
          <w:tcPr>
            <w:tcW w:w="720" w:type="dxa"/>
            <w:vAlign w:val="center"/>
          </w:tcPr>
          <w:p w14:paraId="42267C29">
            <w:pPr>
              <w:pStyle w:val="42"/>
              <w:rPr>
                <w:color w:val="000000" w:themeColor="text1"/>
                <w14:textFill>
                  <w14:solidFill>
                    <w14:schemeClr w14:val="tx1"/>
                  </w14:solidFill>
                </w14:textFill>
              </w:rPr>
            </w:pPr>
          </w:p>
        </w:tc>
      </w:tr>
      <w:tr w14:paraId="3A583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53FCDD36">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33D4D124">
            <w:pPr>
              <w:pStyle w:val="42"/>
              <w:rPr>
                <w:color w:val="000000" w:themeColor="text1"/>
                <w14:textFill>
                  <w14:solidFill>
                    <w14:schemeClr w14:val="tx1"/>
                  </w14:solidFill>
                </w14:textFill>
              </w:rPr>
            </w:pPr>
          </w:p>
        </w:tc>
        <w:tc>
          <w:tcPr>
            <w:tcW w:w="898" w:type="dxa"/>
            <w:vAlign w:val="center"/>
          </w:tcPr>
          <w:p w14:paraId="4953636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使用与监测</w:t>
            </w:r>
          </w:p>
        </w:tc>
        <w:tc>
          <w:tcPr>
            <w:tcW w:w="5580" w:type="dxa"/>
            <w:vAlign w:val="center"/>
          </w:tcPr>
          <w:p w14:paraId="556430B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）混凝土浇筑顺序不符合标准和安全专项施工方案的要求，扣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FB6CBD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）作业层施工均布荷载或集中荷载超过设计允许范围，</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5D24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）当浇筑混凝土时，未对混凝土的堆积高度进行控制，扣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5FF07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）支撑架未应按有关规定监测监控措施，或未在架体搭设、钢筋安装、混凝土浇捣过程中及混凝土终凝前后对基础沉降、模板支撑体系的位移进行监测监控，扣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22AF09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）监测监控未记录监测点、监测时间、工况、监测项目和报警值，扣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7135D8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71F7CE9">
            <w:pPr>
              <w:pStyle w:val="42"/>
              <w:rPr>
                <w:color w:val="000000" w:themeColor="text1"/>
                <w14:textFill>
                  <w14:solidFill>
                    <w14:schemeClr w14:val="tx1"/>
                  </w14:solidFill>
                </w14:textFill>
              </w:rPr>
            </w:pPr>
          </w:p>
        </w:tc>
        <w:tc>
          <w:tcPr>
            <w:tcW w:w="720" w:type="dxa"/>
            <w:vAlign w:val="center"/>
          </w:tcPr>
          <w:p w14:paraId="139A3461">
            <w:pPr>
              <w:pStyle w:val="42"/>
              <w:rPr>
                <w:color w:val="000000" w:themeColor="text1"/>
                <w14:textFill>
                  <w14:solidFill>
                    <w14:schemeClr w14:val="tx1"/>
                  </w14:solidFill>
                </w14:textFill>
              </w:rPr>
            </w:pPr>
          </w:p>
        </w:tc>
      </w:tr>
      <w:tr w14:paraId="30A41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6366FC5D">
            <w:pPr>
              <w:pStyle w:val="42"/>
              <w:rPr>
                <w:color w:val="000000" w:themeColor="text1"/>
                <w14:textFill>
                  <w14:solidFill>
                    <w14:schemeClr w14:val="tx1"/>
                  </w14:solidFill>
                </w14:textFill>
              </w:rPr>
            </w:pPr>
          </w:p>
        </w:tc>
        <w:tc>
          <w:tcPr>
            <w:tcW w:w="543" w:type="dxa"/>
            <w:vMerge w:val="continue"/>
          </w:tcPr>
          <w:p w14:paraId="2CFD4437">
            <w:pPr>
              <w:pStyle w:val="42"/>
              <w:rPr>
                <w:color w:val="000000" w:themeColor="text1"/>
                <w14:textFill>
                  <w14:solidFill>
                    <w14:schemeClr w14:val="tx1"/>
                  </w14:solidFill>
                </w14:textFill>
              </w:rPr>
            </w:pPr>
          </w:p>
        </w:tc>
        <w:tc>
          <w:tcPr>
            <w:tcW w:w="6478" w:type="dxa"/>
            <w:gridSpan w:val="2"/>
            <w:vAlign w:val="center"/>
          </w:tcPr>
          <w:p w14:paraId="4793DAF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2796CB04">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76027BDA">
            <w:pPr>
              <w:pStyle w:val="42"/>
              <w:rPr>
                <w:color w:val="000000" w:themeColor="text1"/>
                <w14:textFill>
                  <w14:solidFill>
                    <w14:schemeClr w14:val="tx1"/>
                  </w14:solidFill>
                </w14:textFill>
              </w:rPr>
            </w:pPr>
          </w:p>
        </w:tc>
        <w:tc>
          <w:tcPr>
            <w:tcW w:w="720" w:type="dxa"/>
            <w:vAlign w:val="center"/>
          </w:tcPr>
          <w:p w14:paraId="1AE9A24A">
            <w:pPr>
              <w:pStyle w:val="42"/>
              <w:rPr>
                <w:color w:val="000000" w:themeColor="text1"/>
                <w14:textFill>
                  <w14:solidFill>
                    <w14:schemeClr w14:val="tx1"/>
                  </w14:solidFill>
                </w14:textFill>
              </w:rPr>
            </w:pPr>
          </w:p>
        </w:tc>
      </w:tr>
      <w:tr w14:paraId="1837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63C9AAC0">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0743B8E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66FE241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3E8B817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9F0256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7783085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构件连接</w:t>
            </w:r>
          </w:p>
        </w:tc>
        <w:tc>
          <w:tcPr>
            <w:tcW w:w="5580" w:type="dxa"/>
            <w:vAlign w:val="center"/>
          </w:tcPr>
          <w:p w14:paraId="69DF8B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）立柱与基础或立柱与顶部横梁连接部位接触不紧密，或柱头、柱脚的加强构造不符合专项方案的要求，扣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E88270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）立柱的竖向连接不牢固、紧密，或相邻立柱接头在同一断面，扣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29EE2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）连接系、支撑件与纵梁、横梁、立柱间的连接不牢固，扣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分，焊接质量与专项施工方案规定的焊缝等级不匹配，扣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E942A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）两根及以上型钢构成的组合梁，未采用垫板、加劲肋将型钢连接成整体，扣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1ED35E5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）桁架梁未在支承位置设置侧向限位装置，扣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A1AF03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倾斜设置的纵梁或横梁支座处未按专项施工方案的要求采取防滑移固定措施，扣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7697C3B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2A38675">
            <w:pPr>
              <w:pStyle w:val="42"/>
              <w:rPr>
                <w:color w:val="000000" w:themeColor="text1"/>
                <w14:textFill>
                  <w14:solidFill>
                    <w14:schemeClr w14:val="tx1"/>
                  </w14:solidFill>
                </w14:textFill>
              </w:rPr>
            </w:pPr>
          </w:p>
        </w:tc>
        <w:tc>
          <w:tcPr>
            <w:tcW w:w="720" w:type="dxa"/>
            <w:vAlign w:val="center"/>
          </w:tcPr>
          <w:p w14:paraId="7576EA0B">
            <w:pPr>
              <w:pStyle w:val="42"/>
              <w:rPr>
                <w:color w:val="000000" w:themeColor="text1"/>
                <w14:textFill>
                  <w14:solidFill>
                    <w14:schemeClr w14:val="tx1"/>
                  </w14:solidFill>
                </w14:textFill>
              </w:rPr>
            </w:pPr>
          </w:p>
        </w:tc>
      </w:tr>
      <w:tr w14:paraId="3177E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3367A2B">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06E65959">
            <w:pPr>
              <w:pStyle w:val="42"/>
              <w:rPr>
                <w:color w:val="000000" w:themeColor="text1"/>
                <w14:textFill>
                  <w14:solidFill>
                    <w14:schemeClr w14:val="tx1"/>
                  </w14:solidFill>
                </w14:textFill>
              </w:rPr>
            </w:pPr>
          </w:p>
        </w:tc>
        <w:tc>
          <w:tcPr>
            <w:tcW w:w="898" w:type="dxa"/>
            <w:vAlign w:val="center"/>
          </w:tcPr>
          <w:p w14:paraId="5405AF0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5394D4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）架体顶面四周未设置操作平台，扣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E070E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）平台面未牢固满铺脚手板，扣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5BB228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）平台外侧未按临边作业要求设置防护栏杆，扣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3B5230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）未设置供人员上下的专用通道，扣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8CC57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）通道设置不符合标准要求或未与既有结构进行可靠连接，扣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755C8C5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）支撑架四周的安全区域、围栏、警示标志不符合标准要求，扣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2958E6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）车行门洞通道未设置顶部全封闭硬防护，扣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B44A8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）门洞未按规定设置导向、限高、限宽、减速、防撞设施及标识，扣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3930E8F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）当支撑架可能受河水影响时，未采取防冲（撞）击的安全措施，扣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399468E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）起重设备、混凝土输送管、脚手架、物料周转平台等设施与支撑架相连接，扣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047D05C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18468BF">
            <w:pPr>
              <w:pStyle w:val="42"/>
              <w:rPr>
                <w:color w:val="000000" w:themeColor="text1"/>
                <w14:textFill>
                  <w14:solidFill>
                    <w14:schemeClr w14:val="tx1"/>
                  </w14:solidFill>
                </w14:textFill>
              </w:rPr>
            </w:pPr>
          </w:p>
        </w:tc>
        <w:tc>
          <w:tcPr>
            <w:tcW w:w="720" w:type="dxa"/>
            <w:vAlign w:val="center"/>
          </w:tcPr>
          <w:p w14:paraId="5816357F">
            <w:pPr>
              <w:pStyle w:val="42"/>
              <w:rPr>
                <w:color w:val="000000" w:themeColor="text1"/>
                <w14:textFill>
                  <w14:solidFill>
                    <w14:schemeClr w14:val="tx1"/>
                  </w14:solidFill>
                </w14:textFill>
              </w:rPr>
            </w:pPr>
          </w:p>
        </w:tc>
      </w:tr>
      <w:tr w14:paraId="02704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6F83947">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26663EC2">
            <w:pPr>
              <w:pStyle w:val="42"/>
              <w:rPr>
                <w:color w:val="000000" w:themeColor="text1"/>
                <w14:textFill>
                  <w14:solidFill>
                    <w14:schemeClr w14:val="tx1"/>
                  </w14:solidFill>
                </w14:textFill>
              </w:rPr>
            </w:pPr>
          </w:p>
        </w:tc>
        <w:tc>
          <w:tcPr>
            <w:tcW w:w="898" w:type="dxa"/>
            <w:vAlign w:val="center"/>
          </w:tcPr>
          <w:p w14:paraId="31C2428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支撑架拆除</w:t>
            </w:r>
          </w:p>
        </w:tc>
        <w:tc>
          <w:tcPr>
            <w:tcW w:w="5580" w:type="dxa"/>
            <w:vAlign w:val="center"/>
          </w:tcPr>
          <w:p w14:paraId="07D85F1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）架体拆除前未进行拆除安全技术交底，扣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D87A73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）支撑架拆除前未确认混凝土达到拆模强度要求，扣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D04031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）支撑架拆除未填写拆模申请单并履行拆模审批手续，扣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24CFCB7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）预应力混凝土结构的支撑架在建立预应力前拆除，扣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E9A95C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）支撑架落架未按专项施工方案规定的顺序分阶段循环进行，扣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94908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）支撑架拆除未按规定设置警戒区或未设专人监护，扣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979722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36C348D">
            <w:pPr>
              <w:pStyle w:val="42"/>
              <w:rPr>
                <w:color w:val="000000" w:themeColor="text1"/>
                <w14:textFill>
                  <w14:solidFill>
                    <w14:schemeClr w14:val="tx1"/>
                  </w14:solidFill>
                </w14:textFill>
              </w:rPr>
            </w:pPr>
          </w:p>
        </w:tc>
        <w:tc>
          <w:tcPr>
            <w:tcW w:w="720" w:type="dxa"/>
            <w:vAlign w:val="center"/>
          </w:tcPr>
          <w:p w14:paraId="24F4E076">
            <w:pPr>
              <w:pStyle w:val="42"/>
              <w:rPr>
                <w:color w:val="000000" w:themeColor="text1"/>
                <w14:textFill>
                  <w14:solidFill>
                    <w14:schemeClr w14:val="tx1"/>
                  </w14:solidFill>
                </w14:textFill>
              </w:rPr>
            </w:pPr>
          </w:p>
        </w:tc>
      </w:tr>
      <w:tr w14:paraId="3CD7B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4ED494F">
            <w:pPr>
              <w:pStyle w:val="42"/>
              <w:rPr>
                <w:color w:val="000000" w:themeColor="text1"/>
                <w14:textFill>
                  <w14:solidFill>
                    <w14:schemeClr w14:val="tx1"/>
                  </w14:solidFill>
                </w14:textFill>
              </w:rPr>
            </w:pPr>
          </w:p>
        </w:tc>
        <w:tc>
          <w:tcPr>
            <w:tcW w:w="543" w:type="dxa"/>
            <w:vMerge w:val="continue"/>
          </w:tcPr>
          <w:p w14:paraId="185818DC">
            <w:pPr>
              <w:pStyle w:val="42"/>
              <w:rPr>
                <w:color w:val="000000" w:themeColor="text1"/>
                <w14:textFill>
                  <w14:solidFill>
                    <w14:schemeClr w14:val="tx1"/>
                  </w14:solidFill>
                </w14:textFill>
              </w:rPr>
            </w:pPr>
          </w:p>
        </w:tc>
        <w:tc>
          <w:tcPr>
            <w:tcW w:w="6478" w:type="dxa"/>
            <w:gridSpan w:val="2"/>
            <w:vAlign w:val="center"/>
          </w:tcPr>
          <w:p w14:paraId="11E1A6F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5F3EB70">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10B39368">
            <w:pPr>
              <w:pStyle w:val="42"/>
              <w:rPr>
                <w:color w:val="000000" w:themeColor="text1"/>
                <w14:textFill>
                  <w14:solidFill>
                    <w14:schemeClr w14:val="tx1"/>
                  </w14:solidFill>
                </w14:textFill>
              </w:rPr>
            </w:pPr>
          </w:p>
        </w:tc>
        <w:tc>
          <w:tcPr>
            <w:tcW w:w="720" w:type="dxa"/>
            <w:vAlign w:val="center"/>
          </w:tcPr>
          <w:p w14:paraId="0B022239">
            <w:pPr>
              <w:pStyle w:val="42"/>
              <w:rPr>
                <w:color w:val="000000" w:themeColor="text1"/>
                <w14:textFill>
                  <w14:solidFill>
                    <w14:schemeClr w14:val="tx1"/>
                  </w14:solidFill>
                </w14:textFill>
              </w:rPr>
            </w:pPr>
          </w:p>
        </w:tc>
      </w:tr>
      <w:tr w14:paraId="36ABF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4BB519B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03F0B009">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1064F5AA">
            <w:pPr>
              <w:pStyle w:val="42"/>
              <w:rPr>
                <w:color w:val="000000" w:themeColor="text1"/>
                <w14:textFill>
                  <w14:solidFill>
                    <w14:schemeClr w14:val="tx1"/>
                  </w14:solidFill>
                </w14:textFill>
              </w:rPr>
            </w:pPr>
          </w:p>
        </w:tc>
        <w:tc>
          <w:tcPr>
            <w:tcW w:w="720" w:type="dxa"/>
            <w:vAlign w:val="center"/>
          </w:tcPr>
          <w:p w14:paraId="67858C4E">
            <w:pPr>
              <w:pStyle w:val="42"/>
              <w:rPr>
                <w:color w:val="000000" w:themeColor="text1"/>
                <w14:textFill>
                  <w14:solidFill>
                    <w14:schemeClr w14:val="tx1"/>
                  </w14:solidFill>
                </w14:textFill>
              </w:rPr>
            </w:pPr>
          </w:p>
        </w:tc>
      </w:tr>
    </w:tbl>
    <w:p w14:paraId="1BF3A5A8">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4" w:name="_Toc2856"/>
      <w:bookmarkStart w:id="55" w:name="_Toc5201"/>
      <w:bookmarkStart w:id="56" w:name="_Toc22261"/>
      <w:r>
        <w:rPr>
          <w:rFonts w:hint="eastAsia"/>
          <w:color w:val="000000" w:themeColor="text1"/>
          <w14:textFill>
            <w14:solidFill>
              <w14:schemeClr w14:val="tx1"/>
            </w14:solidFill>
          </w14:textFill>
        </w:rPr>
        <w:t>表1</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 xml:space="preserve">  移动模架检查</w:t>
      </w:r>
      <w:r>
        <w:rPr>
          <w:color w:val="000000" w:themeColor="text1"/>
          <w14:textFill>
            <w14:solidFill>
              <w14:schemeClr w14:val="tx1"/>
            </w14:solidFill>
          </w14:textFill>
        </w:rPr>
        <w:t>评分表</w:t>
      </w:r>
      <w:bookmarkEnd w:id="54"/>
      <w:bookmarkEnd w:id="55"/>
      <w:bookmarkEnd w:id="56"/>
    </w:p>
    <w:tbl>
      <w:tblPr>
        <w:tblStyle w:val="17"/>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4D5C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jc w:val="center"/>
        </w:trPr>
        <w:tc>
          <w:tcPr>
            <w:tcW w:w="539" w:type="dxa"/>
            <w:vAlign w:val="center"/>
          </w:tcPr>
          <w:p w14:paraId="7E5828F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4A43617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16C662A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77804F3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0E97999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21106804">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94D75FA">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5D0DC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jc w:val="center"/>
        </w:trPr>
        <w:tc>
          <w:tcPr>
            <w:tcW w:w="539" w:type="dxa"/>
            <w:vAlign w:val="center"/>
          </w:tcPr>
          <w:p w14:paraId="109A1157">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7ED96BB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51AD723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3FBB18F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5AC27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6F74CC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1352057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）未按规定编制专项施工方案，或未对临时拼装支架或吊架进行设计计算，扣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368FFF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）移动模架采用非定型产品时未对移动模架进行专门设计计算或确认，扣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2955F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）超过一定规模的移动模架专项施工方案，未按规定组织专家论证的，扣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464570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）专项施工方案未按规定进行审核、审批的，扣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7A5592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4C39CEA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5C43C70">
            <w:pPr>
              <w:pStyle w:val="42"/>
              <w:rPr>
                <w:color w:val="000000" w:themeColor="text1"/>
                <w14:textFill>
                  <w14:solidFill>
                    <w14:schemeClr w14:val="tx1"/>
                  </w14:solidFill>
                </w14:textFill>
              </w:rPr>
            </w:pPr>
          </w:p>
        </w:tc>
        <w:tc>
          <w:tcPr>
            <w:tcW w:w="720" w:type="dxa"/>
            <w:vAlign w:val="center"/>
          </w:tcPr>
          <w:p w14:paraId="54AA6DB2">
            <w:pPr>
              <w:pStyle w:val="42"/>
              <w:rPr>
                <w:color w:val="000000" w:themeColor="text1"/>
                <w14:textFill>
                  <w14:solidFill>
                    <w14:schemeClr w14:val="tx1"/>
                  </w14:solidFill>
                </w14:textFill>
              </w:rPr>
            </w:pPr>
          </w:p>
        </w:tc>
      </w:tr>
      <w:tr w14:paraId="744A1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jc w:val="center"/>
        </w:trPr>
        <w:tc>
          <w:tcPr>
            <w:tcW w:w="539" w:type="dxa"/>
            <w:vAlign w:val="center"/>
          </w:tcPr>
          <w:p w14:paraId="726688DF">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589D5014">
            <w:pPr>
              <w:pStyle w:val="42"/>
              <w:rPr>
                <w:color w:val="000000" w:themeColor="text1"/>
                <w14:textFill>
                  <w14:solidFill>
                    <w14:schemeClr w14:val="tx1"/>
                  </w14:solidFill>
                </w14:textFill>
              </w:rPr>
            </w:pPr>
          </w:p>
        </w:tc>
        <w:tc>
          <w:tcPr>
            <w:tcW w:w="898" w:type="dxa"/>
            <w:vAlign w:val="center"/>
          </w:tcPr>
          <w:p w14:paraId="362FDDE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模架产品及材质</w:t>
            </w:r>
          </w:p>
        </w:tc>
        <w:tc>
          <w:tcPr>
            <w:tcW w:w="5580" w:type="dxa"/>
            <w:vAlign w:val="center"/>
          </w:tcPr>
          <w:p w14:paraId="37DF02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）定型移动模架产品无设计制造资质证书、设备出厂合格证，扣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80B84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）定型移动模架无设计及安装技术文件资料，或无操作手册等技术文件，扣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CD065E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）非定型移动模架所用的承重构配件和连接件无质量合格证、材质证明，扣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分，其品种、规格、型号、材质不符合有关标准的要求，扣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6EBFF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）所采用的液压或卷扬等装置无产品合格证，扣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ECE3B3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）构配件有无显著的变形、锈蚀及外观缺陷，扣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9CEBBB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6A6B00C">
            <w:pPr>
              <w:pStyle w:val="42"/>
              <w:rPr>
                <w:color w:val="000000" w:themeColor="text1"/>
                <w14:textFill>
                  <w14:solidFill>
                    <w14:schemeClr w14:val="tx1"/>
                  </w14:solidFill>
                </w14:textFill>
              </w:rPr>
            </w:pPr>
          </w:p>
        </w:tc>
        <w:tc>
          <w:tcPr>
            <w:tcW w:w="720" w:type="dxa"/>
            <w:vAlign w:val="center"/>
          </w:tcPr>
          <w:p w14:paraId="7AC9EEBE">
            <w:pPr>
              <w:pStyle w:val="42"/>
              <w:rPr>
                <w:color w:val="000000" w:themeColor="text1"/>
                <w14:textFill>
                  <w14:solidFill>
                    <w14:schemeClr w14:val="tx1"/>
                  </w14:solidFill>
                </w14:textFill>
              </w:rPr>
            </w:pPr>
          </w:p>
        </w:tc>
      </w:tr>
      <w:tr w14:paraId="6A1E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45C8E308">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14D29BE9">
            <w:pPr>
              <w:pStyle w:val="42"/>
              <w:rPr>
                <w:color w:val="000000" w:themeColor="text1"/>
                <w14:textFill>
                  <w14:solidFill>
                    <w14:schemeClr w14:val="tx1"/>
                  </w14:solidFill>
                </w14:textFill>
              </w:rPr>
            </w:pPr>
          </w:p>
        </w:tc>
        <w:tc>
          <w:tcPr>
            <w:tcW w:w="898" w:type="dxa"/>
            <w:vAlign w:val="center"/>
          </w:tcPr>
          <w:p w14:paraId="21A0623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模架结构</w:t>
            </w:r>
          </w:p>
        </w:tc>
        <w:tc>
          <w:tcPr>
            <w:tcW w:w="5580" w:type="dxa"/>
            <w:vAlign w:val="center"/>
          </w:tcPr>
          <w:p w14:paraId="5C53488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）定型移动模架产品及所用构配件与所施工的混凝土梁的各项要求不相适应，扣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6B10CD5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）非定型移动模架的主承重梁的支承位置、间距不符合模架设计的规定，扣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C4D2DF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）非定型移动模架的主承重梁的纵向、横向连接位置或连接方式不符合模架设计的规定，扣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分；连接不牢固，扣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0DE741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）下行式模架的托架采用对拉连接时，精轧螺纹钢筋的使用次数超过设计规定，扣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F2956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）下行式模架的托架采用非对拉连接安装时，托架位置或构造方式不符合模架设计的要求，扣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7B622D6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B3250FA">
            <w:pPr>
              <w:pStyle w:val="42"/>
              <w:rPr>
                <w:color w:val="000000" w:themeColor="text1"/>
                <w14:textFill>
                  <w14:solidFill>
                    <w14:schemeClr w14:val="tx1"/>
                  </w14:solidFill>
                </w14:textFill>
              </w:rPr>
            </w:pPr>
          </w:p>
        </w:tc>
        <w:tc>
          <w:tcPr>
            <w:tcW w:w="720" w:type="dxa"/>
            <w:vAlign w:val="center"/>
          </w:tcPr>
          <w:p w14:paraId="7F444127">
            <w:pPr>
              <w:pStyle w:val="42"/>
              <w:rPr>
                <w:color w:val="000000" w:themeColor="text1"/>
                <w14:textFill>
                  <w14:solidFill>
                    <w14:schemeClr w14:val="tx1"/>
                  </w14:solidFill>
                </w14:textFill>
              </w:rPr>
            </w:pPr>
          </w:p>
        </w:tc>
      </w:tr>
      <w:tr w14:paraId="6128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F68F478">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0AA2956C">
            <w:pPr>
              <w:pStyle w:val="42"/>
              <w:rPr>
                <w:color w:val="000000" w:themeColor="text1"/>
                <w14:textFill>
                  <w14:solidFill>
                    <w14:schemeClr w14:val="tx1"/>
                  </w14:solidFill>
                </w14:textFill>
              </w:rPr>
            </w:pPr>
          </w:p>
        </w:tc>
        <w:tc>
          <w:tcPr>
            <w:tcW w:w="898" w:type="dxa"/>
            <w:vAlign w:val="center"/>
          </w:tcPr>
          <w:p w14:paraId="41918AE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安装</w:t>
            </w:r>
          </w:p>
        </w:tc>
        <w:tc>
          <w:tcPr>
            <w:tcW w:w="5580" w:type="dxa"/>
            <w:vAlign w:val="center"/>
          </w:tcPr>
          <w:p w14:paraId="45615A0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）移动模架安装无操作手册或未按产品操作手册安装，扣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EB0D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）未在设计制造厂家专人现场指导下进行安装与调试，扣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45881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）临时拼装支架地基基础不牢固或架体结构不满足牢固可靠、构造合理的要求，扣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8E992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）临时拼装支架材料及构件的质量不符合相关标准的技术要求，扣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0A195D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）采用对拉连接的托架，拉杆的预拉力不符合专项施工方案和出厂技术文件要求，扣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31E531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）托架对拉拉精轧螺纹钢筋双帽不紧固，扣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75429A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）上行式模架后支腿未置于已浇筑梁段腹板中心线上，扣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分；支承面积未进行计算或不满足模架设计要求，扣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CD524D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）模架拼装过程中，支腿托架、主梁、横联未及时连接，扣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4DC46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）模架在首孔梁浇筑位置安装就位后未按按规定的荷载进行模拟荷载试验，扣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627C727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240DEFE">
            <w:pPr>
              <w:pStyle w:val="42"/>
              <w:rPr>
                <w:color w:val="000000" w:themeColor="text1"/>
                <w14:textFill>
                  <w14:solidFill>
                    <w14:schemeClr w14:val="tx1"/>
                  </w14:solidFill>
                </w14:textFill>
              </w:rPr>
            </w:pPr>
          </w:p>
        </w:tc>
        <w:tc>
          <w:tcPr>
            <w:tcW w:w="720" w:type="dxa"/>
            <w:vAlign w:val="center"/>
          </w:tcPr>
          <w:p w14:paraId="72DAB52E">
            <w:pPr>
              <w:pStyle w:val="42"/>
              <w:rPr>
                <w:color w:val="000000" w:themeColor="text1"/>
                <w14:textFill>
                  <w14:solidFill>
                    <w14:schemeClr w14:val="tx1"/>
                  </w14:solidFill>
                </w14:textFill>
              </w:rPr>
            </w:pPr>
          </w:p>
        </w:tc>
      </w:tr>
      <w:tr w14:paraId="71EDB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jc w:val="center"/>
        </w:trPr>
        <w:tc>
          <w:tcPr>
            <w:tcW w:w="539" w:type="dxa"/>
            <w:vAlign w:val="center"/>
          </w:tcPr>
          <w:p w14:paraId="1D4937BE">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776B91E7">
            <w:pPr>
              <w:pStyle w:val="42"/>
              <w:rPr>
                <w:color w:val="000000" w:themeColor="text1"/>
                <w14:textFill>
                  <w14:solidFill>
                    <w14:schemeClr w14:val="tx1"/>
                  </w14:solidFill>
                </w14:textFill>
              </w:rPr>
            </w:pPr>
          </w:p>
        </w:tc>
        <w:tc>
          <w:tcPr>
            <w:tcW w:w="898" w:type="dxa"/>
            <w:vAlign w:val="center"/>
          </w:tcPr>
          <w:p w14:paraId="2107E4B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779F16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）移动模架拼装采用的临时支架或吊架施工完成后未办理验收手续，扣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00B1E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）移动模架进场后，未清点、检查所有部件，或未对重点部位焊缝进行无损探伤检测，扣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4A4DE5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）采用对拉连接的托架安装前，未对精轧螺纹钢筋、夹具及连接器进行外观检查或未进行力学实验，扣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55993C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）移动模架拼装完成后未对电路、液压系统的运行情况进行检查，扣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00DFB8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）移动模架组装后首次使用前未组织设计制造和安装单位进行共同进行检查验收，扣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D289B0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）过孔前后未对模架的关键部位和支承系统进行进行全面检查，扣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693F0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）各阶段检查验收未采用经审批的表格形成记录，或未经相关责任人签字确认，扣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E18DE0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14C65CD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666DE0A">
            <w:pPr>
              <w:pStyle w:val="42"/>
              <w:rPr>
                <w:color w:val="000000" w:themeColor="text1"/>
                <w14:textFill>
                  <w14:solidFill>
                    <w14:schemeClr w14:val="tx1"/>
                  </w14:solidFill>
                </w14:textFill>
              </w:rPr>
            </w:pPr>
          </w:p>
        </w:tc>
        <w:tc>
          <w:tcPr>
            <w:tcW w:w="720" w:type="dxa"/>
            <w:vAlign w:val="center"/>
          </w:tcPr>
          <w:p w14:paraId="3F191793">
            <w:pPr>
              <w:pStyle w:val="42"/>
              <w:rPr>
                <w:color w:val="000000" w:themeColor="text1"/>
                <w14:textFill>
                  <w14:solidFill>
                    <w14:schemeClr w14:val="tx1"/>
                  </w14:solidFill>
                </w14:textFill>
              </w:rPr>
            </w:pPr>
          </w:p>
        </w:tc>
      </w:tr>
      <w:tr w14:paraId="5E10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3846BB9F">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2B80E6D7">
            <w:pPr>
              <w:pStyle w:val="42"/>
              <w:rPr>
                <w:color w:val="000000" w:themeColor="text1"/>
                <w14:textFill>
                  <w14:solidFill>
                    <w14:schemeClr w14:val="tx1"/>
                  </w14:solidFill>
                </w14:textFill>
              </w:rPr>
            </w:pPr>
          </w:p>
        </w:tc>
        <w:tc>
          <w:tcPr>
            <w:tcW w:w="898" w:type="dxa"/>
            <w:vAlign w:val="center"/>
          </w:tcPr>
          <w:p w14:paraId="7DE2DB7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模架过孔</w:t>
            </w:r>
          </w:p>
        </w:tc>
        <w:tc>
          <w:tcPr>
            <w:tcW w:w="5580" w:type="dxa"/>
            <w:vAlign w:val="center"/>
          </w:tcPr>
          <w:p w14:paraId="0A70A26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）移动模架在梁体初张拉完成前进行过孔操作，扣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B42CF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模架打开过孔前未确认电路、油路运行正常，或未解除所有影响移位的约束，扣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B540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）模架纵向移动时两侧的承重主梁不同步，扣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91328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）模架横向开启及合拢过程中，左右两侧模架或同侧移动模架前后端不同步，扣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7E5257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）纵移到最后</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时，未按点动按钮前进，扣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6D780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）移动模架无可靠的纵向过孔限位和制动装置，扣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5BABEE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）移动模架过孔后未及时将外模系统合拢，或未将支腿吊架、主梁、横联及时连接，扣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BBE6F6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）移动模架安装完成以及纵移定位后，支撑主梁的油缸未处于锁定状态，扣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CB3E59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）移动模架在过孔时的抗倾覆稳定系数小于</w:t>
            </w:r>
            <w:r>
              <w:rPr>
                <w:color w:val="000000" w:themeColor="text1"/>
                <w14:textFill>
                  <w14:solidFill>
                    <w14:schemeClr w14:val="tx1"/>
                  </w14:solidFill>
                </w14:textFill>
              </w:rPr>
              <w:t>1.5</w:t>
            </w:r>
          </w:p>
        </w:tc>
        <w:tc>
          <w:tcPr>
            <w:tcW w:w="720" w:type="dxa"/>
            <w:vAlign w:val="center"/>
          </w:tcPr>
          <w:p w14:paraId="5BD3063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A19B605">
            <w:pPr>
              <w:pStyle w:val="42"/>
              <w:rPr>
                <w:color w:val="000000" w:themeColor="text1"/>
                <w14:textFill>
                  <w14:solidFill>
                    <w14:schemeClr w14:val="tx1"/>
                  </w14:solidFill>
                </w14:textFill>
              </w:rPr>
            </w:pPr>
          </w:p>
        </w:tc>
        <w:tc>
          <w:tcPr>
            <w:tcW w:w="720" w:type="dxa"/>
            <w:vAlign w:val="center"/>
          </w:tcPr>
          <w:p w14:paraId="3FFDEEC8">
            <w:pPr>
              <w:pStyle w:val="42"/>
              <w:rPr>
                <w:color w:val="000000" w:themeColor="text1"/>
                <w14:textFill>
                  <w14:solidFill>
                    <w14:schemeClr w14:val="tx1"/>
                  </w14:solidFill>
                </w14:textFill>
              </w:rPr>
            </w:pPr>
          </w:p>
        </w:tc>
      </w:tr>
      <w:tr w14:paraId="257D8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0A4FD11">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76F16373">
            <w:pPr>
              <w:pStyle w:val="42"/>
              <w:rPr>
                <w:color w:val="000000" w:themeColor="text1"/>
                <w14:textFill>
                  <w14:solidFill>
                    <w14:schemeClr w14:val="tx1"/>
                  </w14:solidFill>
                </w14:textFill>
              </w:rPr>
            </w:pPr>
          </w:p>
        </w:tc>
        <w:tc>
          <w:tcPr>
            <w:tcW w:w="898" w:type="dxa"/>
            <w:vAlign w:val="center"/>
          </w:tcPr>
          <w:p w14:paraId="069FB6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使用与监测</w:t>
            </w:r>
          </w:p>
        </w:tc>
        <w:tc>
          <w:tcPr>
            <w:tcW w:w="5580" w:type="dxa"/>
            <w:vAlign w:val="center"/>
          </w:tcPr>
          <w:p w14:paraId="61B631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）移动模架使用前，未在显著位置悬挂移动模架安全使用规程的，扣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F5FAA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）移动模架移动过孔时，未对模架的运行状态进行监控，扣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95936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）浇筑混凝土时，未对承重主梁变形进行监测，或未形成监测记录，扣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D163ED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）模架中的动力和照明线路未经专业人员敷设，或未定期检查清理，扣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080831F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）浇筑作业面上的施工荷载应符合挂篮设计规定，扣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4A859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）混凝土浇筑未按照由悬臂端向已浇筑梁端的顺序进行，或左右两侧腹板及翼缘混凝土下料不对称，扣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872CE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）风力达到</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级以上时，未停止移动模架作业，扣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分；未将所有支腿均置于锚固和锁定状态，或外模板未闭合，扣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98CE1E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）移动模架现场使用单位未对其安全技术记录资料建立安全技术档案，扣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118E76D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B30AD17">
            <w:pPr>
              <w:pStyle w:val="42"/>
              <w:rPr>
                <w:color w:val="000000" w:themeColor="text1"/>
                <w14:textFill>
                  <w14:solidFill>
                    <w14:schemeClr w14:val="tx1"/>
                  </w14:solidFill>
                </w14:textFill>
              </w:rPr>
            </w:pPr>
          </w:p>
        </w:tc>
        <w:tc>
          <w:tcPr>
            <w:tcW w:w="720" w:type="dxa"/>
            <w:vAlign w:val="center"/>
          </w:tcPr>
          <w:p w14:paraId="184A9824">
            <w:pPr>
              <w:pStyle w:val="42"/>
              <w:rPr>
                <w:color w:val="000000" w:themeColor="text1"/>
                <w14:textFill>
                  <w14:solidFill>
                    <w14:schemeClr w14:val="tx1"/>
                  </w14:solidFill>
                </w14:textFill>
              </w:rPr>
            </w:pPr>
          </w:p>
        </w:tc>
      </w:tr>
      <w:tr w14:paraId="0E898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09FF0EE2">
            <w:pPr>
              <w:pStyle w:val="42"/>
              <w:rPr>
                <w:color w:val="000000" w:themeColor="text1"/>
                <w14:textFill>
                  <w14:solidFill>
                    <w14:schemeClr w14:val="tx1"/>
                  </w14:solidFill>
                </w14:textFill>
              </w:rPr>
            </w:pPr>
          </w:p>
        </w:tc>
        <w:tc>
          <w:tcPr>
            <w:tcW w:w="543" w:type="dxa"/>
            <w:vMerge w:val="continue"/>
          </w:tcPr>
          <w:p w14:paraId="57EB3CAB">
            <w:pPr>
              <w:pStyle w:val="42"/>
              <w:rPr>
                <w:color w:val="000000" w:themeColor="text1"/>
                <w14:textFill>
                  <w14:solidFill>
                    <w14:schemeClr w14:val="tx1"/>
                  </w14:solidFill>
                </w14:textFill>
              </w:rPr>
            </w:pPr>
          </w:p>
        </w:tc>
        <w:tc>
          <w:tcPr>
            <w:tcW w:w="6478" w:type="dxa"/>
            <w:gridSpan w:val="2"/>
            <w:vAlign w:val="center"/>
          </w:tcPr>
          <w:p w14:paraId="7336909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905D443">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432CA010">
            <w:pPr>
              <w:pStyle w:val="42"/>
              <w:rPr>
                <w:color w:val="000000" w:themeColor="text1"/>
                <w14:textFill>
                  <w14:solidFill>
                    <w14:schemeClr w14:val="tx1"/>
                  </w14:solidFill>
                </w14:textFill>
              </w:rPr>
            </w:pPr>
          </w:p>
        </w:tc>
        <w:tc>
          <w:tcPr>
            <w:tcW w:w="720" w:type="dxa"/>
            <w:vAlign w:val="center"/>
          </w:tcPr>
          <w:p w14:paraId="4DF423B8">
            <w:pPr>
              <w:pStyle w:val="42"/>
              <w:rPr>
                <w:color w:val="000000" w:themeColor="text1"/>
                <w14:textFill>
                  <w14:solidFill>
                    <w14:schemeClr w14:val="tx1"/>
                  </w14:solidFill>
                </w14:textFill>
              </w:rPr>
            </w:pPr>
          </w:p>
        </w:tc>
      </w:tr>
      <w:tr w14:paraId="7C521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jc w:val="center"/>
        </w:trPr>
        <w:tc>
          <w:tcPr>
            <w:tcW w:w="539" w:type="dxa"/>
            <w:vAlign w:val="center"/>
          </w:tcPr>
          <w:p w14:paraId="086758EB">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6E1CCF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22AAEA2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659B5E8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4CD28F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4A9B2C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598C0D1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）移动模架上部两侧未设置人行道和栏杆，扣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分；未在两个端头设置栏杆，扣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分；栏杆外未挂设安全网，扣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0BA0E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）设置的操作平台未按规定设置脚手板、栏杆、挡脚板和安全立网，每项扣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538A3B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）跨（临）铁路、道路、航道的移动模架下部未设置能防止穿透的防护棚，扣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1CF69D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）起重设备、混凝土输送管、上下通道等设施与移动模架相连接，扣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20D25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）移动模架施工时，未设置防护区并设置明显的警示标志，扣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A3C96B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）移动模架未配备风速仪、避雷针和防风锚定设施，每缺一项扣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1AA2E39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8E9D80E">
            <w:pPr>
              <w:pStyle w:val="42"/>
              <w:rPr>
                <w:color w:val="000000" w:themeColor="text1"/>
                <w14:textFill>
                  <w14:solidFill>
                    <w14:schemeClr w14:val="tx1"/>
                  </w14:solidFill>
                </w14:textFill>
              </w:rPr>
            </w:pPr>
          </w:p>
        </w:tc>
        <w:tc>
          <w:tcPr>
            <w:tcW w:w="720" w:type="dxa"/>
            <w:vAlign w:val="center"/>
          </w:tcPr>
          <w:p w14:paraId="654FEA5F">
            <w:pPr>
              <w:pStyle w:val="42"/>
              <w:rPr>
                <w:color w:val="000000" w:themeColor="text1"/>
                <w14:textFill>
                  <w14:solidFill>
                    <w14:schemeClr w14:val="tx1"/>
                  </w14:solidFill>
                </w14:textFill>
              </w:rPr>
            </w:pPr>
          </w:p>
        </w:tc>
      </w:tr>
      <w:tr w14:paraId="2A1C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5EC48E5">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2C6AE907">
            <w:pPr>
              <w:pStyle w:val="42"/>
              <w:rPr>
                <w:color w:val="000000" w:themeColor="text1"/>
                <w14:textFill>
                  <w14:solidFill>
                    <w14:schemeClr w14:val="tx1"/>
                  </w14:solidFill>
                </w14:textFill>
              </w:rPr>
            </w:pPr>
          </w:p>
        </w:tc>
        <w:tc>
          <w:tcPr>
            <w:tcW w:w="898" w:type="dxa"/>
            <w:vAlign w:val="center"/>
          </w:tcPr>
          <w:p w14:paraId="1BA5DF4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通道</w:t>
            </w:r>
          </w:p>
        </w:tc>
        <w:tc>
          <w:tcPr>
            <w:tcW w:w="5580" w:type="dxa"/>
            <w:vAlign w:val="center"/>
          </w:tcPr>
          <w:p w14:paraId="0F3D25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）未设置人员上下的专用通道，扣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A591B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）通道设置不满足标准要求或未与墩身做可靠连接，扣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AB7B57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6598543">
            <w:pPr>
              <w:pStyle w:val="42"/>
              <w:rPr>
                <w:color w:val="000000" w:themeColor="text1"/>
                <w14:textFill>
                  <w14:solidFill>
                    <w14:schemeClr w14:val="tx1"/>
                  </w14:solidFill>
                </w14:textFill>
              </w:rPr>
            </w:pPr>
          </w:p>
        </w:tc>
        <w:tc>
          <w:tcPr>
            <w:tcW w:w="720" w:type="dxa"/>
            <w:vAlign w:val="center"/>
          </w:tcPr>
          <w:p w14:paraId="6EA81CD2">
            <w:pPr>
              <w:pStyle w:val="42"/>
              <w:rPr>
                <w:color w:val="000000" w:themeColor="text1"/>
                <w14:textFill>
                  <w14:solidFill>
                    <w14:schemeClr w14:val="tx1"/>
                  </w14:solidFill>
                </w14:textFill>
              </w:rPr>
            </w:pPr>
          </w:p>
        </w:tc>
      </w:tr>
      <w:tr w14:paraId="6A9E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1DCA77D4">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7D1E7220">
            <w:pPr>
              <w:pStyle w:val="42"/>
              <w:rPr>
                <w:color w:val="000000" w:themeColor="text1"/>
                <w14:textFill>
                  <w14:solidFill>
                    <w14:schemeClr w14:val="tx1"/>
                  </w14:solidFill>
                </w14:textFill>
              </w:rPr>
            </w:pPr>
          </w:p>
        </w:tc>
        <w:tc>
          <w:tcPr>
            <w:tcW w:w="898" w:type="dxa"/>
            <w:vAlign w:val="center"/>
          </w:tcPr>
          <w:p w14:paraId="01ABB2E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模架拆除</w:t>
            </w:r>
          </w:p>
        </w:tc>
        <w:tc>
          <w:tcPr>
            <w:tcW w:w="5580" w:type="dxa"/>
            <w:vAlign w:val="center"/>
          </w:tcPr>
          <w:p w14:paraId="43B6551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）支撑架拆除前，未设置围栏和警戒标志或未派专人监护的，扣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4999BB9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）移动模架拆除在带电的状态下进行，扣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A6F40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）移动模架拆除未按方式对称进行，扣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63B5E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）拆除主梁等连接设备前，未采取增设缆风绳、临时支撑等措施，扣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012FC3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）拆下的构件堆放不稳定，扣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F8EBB2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618B7EE">
            <w:pPr>
              <w:pStyle w:val="42"/>
              <w:rPr>
                <w:color w:val="000000" w:themeColor="text1"/>
                <w14:textFill>
                  <w14:solidFill>
                    <w14:schemeClr w14:val="tx1"/>
                  </w14:solidFill>
                </w14:textFill>
              </w:rPr>
            </w:pPr>
          </w:p>
        </w:tc>
        <w:tc>
          <w:tcPr>
            <w:tcW w:w="720" w:type="dxa"/>
            <w:vAlign w:val="center"/>
          </w:tcPr>
          <w:p w14:paraId="308CFE92">
            <w:pPr>
              <w:pStyle w:val="42"/>
              <w:rPr>
                <w:color w:val="000000" w:themeColor="text1"/>
                <w14:textFill>
                  <w14:solidFill>
                    <w14:schemeClr w14:val="tx1"/>
                  </w14:solidFill>
                </w14:textFill>
              </w:rPr>
            </w:pPr>
          </w:p>
        </w:tc>
      </w:tr>
      <w:tr w14:paraId="104B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jc w:val="center"/>
        </w:trPr>
        <w:tc>
          <w:tcPr>
            <w:tcW w:w="539" w:type="dxa"/>
            <w:vAlign w:val="center"/>
          </w:tcPr>
          <w:p w14:paraId="220767F0">
            <w:pPr>
              <w:pStyle w:val="42"/>
              <w:rPr>
                <w:color w:val="000000" w:themeColor="text1"/>
                <w14:textFill>
                  <w14:solidFill>
                    <w14:schemeClr w14:val="tx1"/>
                  </w14:solidFill>
                </w14:textFill>
              </w:rPr>
            </w:pPr>
          </w:p>
        </w:tc>
        <w:tc>
          <w:tcPr>
            <w:tcW w:w="543" w:type="dxa"/>
            <w:vMerge w:val="continue"/>
          </w:tcPr>
          <w:p w14:paraId="16639CC2">
            <w:pPr>
              <w:pStyle w:val="42"/>
              <w:rPr>
                <w:color w:val="000000" w:themeColor="text1"/>
                <w14:textFill>
                  <w14:solidFill>
                    <w14:schemeClr w14:val="tx1"/>
                  </w14:solidFill>
                </w14:textFill>
              </w:rPr>
            </w:pPr>
          </w:p>
        </w:tc>
        <w:tc>
          <w:tcPr>
            <w:tcW w:w="6478" w:type="dxa"/>
            <w:gridSpan w:val="2"/>
            <w:vAlign w:val="center"/>
          </w:tcPr>
          <w:p w14:paraId="5152FA0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66F95254">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6EDCE2F6">
            <w:pPr>
              <w:pStyle w:val="42"/>
              <w:rPr>
                <w:color w:val="000000" w:themeColor="text1"/>
                <w14:textFill>
                  <w14:solidFill>
                    <w14:schemeClr w14:val="tx1"/>
                  </w14:solidFill>
                </w14:textFill>
              </w:rPr>
            </w:pPr>
          </w:p>
        </w:tc>
        <w:tc>
          <w:tcPr>
            <w:tcW w:w="720" w:type="dxa"/>
            <w:vAlign w:val="center"/>
          </w:tcPr>
          <w:p w14:paraId="2C1EF6D1">
            <w:pPr>
              <w:pStyle w:val="42"/>
              <w:rPr>
                <w:color w:val="000000" w:themeColor="text1"/>
                <w14:textFill>
                  <w14:solidFill>
                    <w14:schemeClr w14:val="tx1"/>
                  </w14:solidFill>
                </w14:textFill>
              </w:rPr>
            </w:pPr>
          </w:p>
        </w:tc>
      </w:tr>
      <w:tr w14:paraId="706E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jc w:val="center"/>
        </w:trPr>
        <w:tc>
          <w:tcPr>
            <w:tcW w:w="7560" w:type="dxa"/>
            <w:gridSpan w:val="4"/>
            <w:vAlign w:val="center"/>
          </w:tcPr>
          <w:p w14:paraId="01BF33B8">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47E7EBBA">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3F825F34">
            <w:pPr>
              <w:pStyle w:val="42"/>
              <w:rPr>
                <w:color w:val="000000" w:themeColor="text1"/>
                <w14:textFill>
                  <w14:solidFill>
                    <w14:schemeClr w14:val="tx1"/>
                  </w14:solidFill>
                </w14:textFill>
              </w:rPr>
            </w:pPr>
          </w:p>
        </w:tc>
        <w:tc>
          <w:tcPr>
            <w:tcW w:w="720" w:type="dxa"/>
            <w:vAlign w:val="center"/>
          </w:tcPr>
          <w:p w14:paraId="33C982F8">
            <w:pPr>
              <w:pStyle w:val="42"/>
              <w:rPr>
                <w:color w:val="000000" w:themeColor="text1"/>
                <w14:textFill>
                  <w14:solidFill>
                    <w14:schemeClr w14:val="tx1"/>
                  </w14:solidFill>
                </w14:textFill>
              </w:rPr>
            </w:pPr>
          </w:p>
        </w:tc>
      </w:tr>
    </w:tbl>
    <w:p w14:paraId="29EE785F">
      <w:pPr>
        <w:rPr>
          <w:color w:val="000000" w:themeColor="text1"/>
          <w14:textFill>
            <w14:solidFill>
              <w14:schemeClr w14:val="tx1"/>
            </w14:solidFill>
          </w14:textFill>
        </w:rPr>
      </w:pPr>
    </w:p>
    <w:p w14:paraId="016C5FDC">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7" w:name="_Toc8724"/>
      <w:bookmarkStart w:id="58" w:name="_Toc22448"/>
      <w:bookmarkStart w:id="59" w:name="_Toc17254"/>
      <w:r>
        <w:rPr>
          <w:rFonts w:hint="eastAsia"/>
          <w:color w:val="000000" w:themeColor="text1"/>
          <w14:textFill>
            <w14:solidFill>
              <w14:schemeClr w14:val="tx1"/>
            </w14:solidFill>
          </w14:textFill>
        </w:rPr>
        <w:t>表1</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 xml:space="preserve">  悬臂施工挂篮检查</w:t>
      </w:r>
      <w:r>
        <w:rPr>
          <w:color w:val="000000" w:themeColor="text1"/>
          <w14:textFill>
            <w14:solidFill>
              <w14:schemeClr w14:val="tx1"/>
            </w14:solidFill>
          </w14:textFill>
        </w:rPr>
        <w:t>评分表</w:t>
      </w:r>
      <w:bookmarkEnd w:id="57"/>
      <w:bookmarkEnd w:id="58"/>
      <w:bookmarkEnd w:id="59"/>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380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76E81A0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6242C07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04B52C0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75E3B88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5C796BF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265383B6">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06F69F35">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4DB9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212DE99A">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14DE914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21F4BDE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48C5B7C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18A4061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textDirection w:val="tbRlV"/>
            <w:vAlign w:val="center"/>
          </w:tcPr>
          <w:p w14:paraId="6FE9D347">
            <w:pPr>
              <w:pStyle w:val="42"/>
              <w:ind w:left="113" w:right="113"/>
              <w:rPr>
                <w:color w:val="000000" w:themeColor="text1"/>
                <w:spacing w:val="73"/>
                <w:sz w:val="22"/>
                <w:szCs w:val="22"/>
                <w14:textFill>
                  <w14:solidFill>
                    <w14:schemeClr w14:val="tx1"/>
                  </w14:solidFill>
                </w14:textFill>
              </w:rPr>
            </w:pPr>
            <w:r>
              <w:rPr>
                <w:rFonts w:hint="eastAsia"/>
                <w:color w:val="000000" w:themeColor="text1"/>
                <w:spacing w:val="27"/>
                <w:kern w:val="0"/>
                <w:sz w:val="22"/>
                <w:szCs w:val="22"/>
                <w:fitText w:val="1320" w:id="-2072795903"/>
                <w14:textFill>
                  <w14:solidFill>
                    <w14:schemeClr w14:val="tx1"/>
                  </w14:solidFill>
                </w14:textFill>
              </w:rPr>
              <w:t>方案与交</w:t>
            </w:r>
            <w:r>
              <w:rPr>
                <w:rFonts w:hint="eastAsia"/>
                <w:color w:val="000000" w:themeColor="text1"/>
                <w:spacing w:val="2"/>
                <w:kern w:val="0"/>
                <w:sz w:val="22"/>
                <w:szCs w:val="22"/>
                <w:fitText w:val="1320" w:id="-2072795903"/>
                <w14:textFill>
                  <w14:solidFill>
                    <w14:schemeClr w14:val="tx1"/>
                  </w14:solidFill>
                </w14:textFill>
              </w:rPr>
              <w:t>底</w:t>
            </w:r>
          </w:p>
        </w:tc>
        <w:tc>
          <w:tcPr>
            <w:tcW w:w="5580" w:type="dxa"/>
            <w:vAlign w:val="center"/>
          </w:tcPr>
          <w:p w14:paraId="49254FA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257D57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）未编制设计文件，扣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1F0B2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）未对挂篮结构、构件和附属设施进行设计计算，扣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94CF01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）设计文件中图纸或计算书不齐全，扣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0D8EA4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537630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28A3D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134CBD0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848DAE9">
            <w:pPr>
              <w:pStyle w:val="42"/>
              <w:rPr>
                <w:color w:val="000000" w:themeColor="text1"/>
                <w14:textFill>
                  <w14:solidFill>
                    <w14:schemeClr w14:val="tx1"/>
                  </w14:solidFill>
                </w14:textFill>
              </w:rPr>
            </w:pPr>
          </w:p>
        </w:tc>
        <w:tc>
          <w:tcPr>
            <w:tcW w:w="720" w:type="dxa"/>
            <w:vAlign w:val="center"/>
          </w:tcPr>
          <w:p w14:paraId="4542D519">
            <w:pPr>
              <w:pStyle w:val="42"/>
              <w:rPr>
                <w:color w:val="000000" w:themeColor="text1"/>
                <w14:textFill>
                  <w14:solidFill>
                    <w14:schemeClr w14:val="tx1"/>
                  </w14:solidFill>
                </w14:textFill>
              </w:rPr>
            </w:pPr>
          </w:p>
        </w:tc>
      </w:tr>
      <w:tr w14:paraId="4FE9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795CB7DA">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3DEC6C57">
            <w:pPr>
              <w:pStyle w:val="42"/>
              <w:rPr>
                <w:color w:val="000000" w:themeColor="text1"/>
                <w14:textFill>
                  <w14:solidFill>
                    <w14:schemeClr w14:val="tx1"/>
                  </w14:solidFill>
                </w14:textFill>
              </w:rPr>
            </w:pPr>
          </w:p>
        </w:tc>
        <w:tc>
          <w:tcPr>
            <w:tcW w:w="898" w:type="dxa"/>
            <w:textDirection w:val="tbRlV"/>
            <w:vAlign w:val="center"/>
          </w:tcPr>
          <w:p w14:paraId="18AE4F03">
            <w:pPr>
              <w:pStyle w:val="42"/>
              <w:ind w:left="113" w:right="113"/>
              <w:rPr>
                <w:color w:val="000000" w:themeColor="text1"/>
                <w:spacing w:val="73"/>
                <w:sz w:val="22"/>
                <w:szCs w:val="22"/>
                <w14:textFill>
                  <w14:solidFill>
                    <w14:schemeClr w14:val="tx1"/>
                  </w14:solidFill>
                </w14:textFill>
              </w:rPr>
            </w:pPr>
            <w:r>
              <w:rPr>
                <w:rFonts w:hint="eastAsia"/>
                <w:color w:val="000000" w:themeColor="text1"/>
                <w:spacing w:val="27"/>
                <w:kern w:val="0"/>
                <w:sz w:val="22"/>
                <w:szCs w:val="22"/>
                <w:fitText w:val="1320" w:id="-2072795903"/>
                <w14:textFill>
                  <w14:solidFill>
                    <w14:schemeClr w14:val="tx1"/>
                  </w14:solidFill>
                </w14:textFill>
              </w:rPr>
              <w:t>构配件材</w:t>
            </w:r>
            <w:r>
              <w:rPr>
                <w:rFonts w:hint="eastAsia"/>
                <w:color w:val="000000" w:themeColor="text1"/>
                <w:spacing w:val="2"/>
                <w:kern w:val="0"/>
                <w:sz w:val="22"/>
                <w:szCs w:val="22"/>
                <w:fitText w:val="1320" w:id="-2072795903"/>
                <w14:textFill>
                  <w14:solidFill>
                    <w14:schemeClr w14:val="tx1"/>
                  </w14:solidFill>
                </w14:textFill>
              </w:rPr>
              <w:t>质</w:t>
            </w:r>
          </w:p>
        </w:tc>
        <w:tc>
          <w:tcPr>
            <w:tcW w:w="5580" w:type="dxa"/>
            <w:vAlign w:val="center"/>
          </w:tcPr>
          <w:p w14:paraId="215A7B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）挂篮所用的承重构配件和连接件无质量合格证、材质证明，扣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702922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）构配件品种、规格、型号、材质不符合专项施工方案和有关标准的要求，扣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CC42DE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）挂篮所采用的钢吊带或吊杆（含销轴）应无无损探伤检测记录，扣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91D3B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）挂篮所采用的液压或卷扬等装置无产品合格证，扣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6269A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）主体结构构件、连接件有显著的变形、超标的挠度或严重锈蚀剥皮，扣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5B9EF4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8070E2D">
            <w:pPr>
              <w:pStyle w:val="42"/>
              <w:rPr>
                <w:color w:val="000000" w:themeColor="text1"/>
                <w14:textFill>
                  <w14:solidFill>
                    <w14:schemeClr w14:val="tx1"/>
                  </w14:solidFill>
                </w14:textFill>
              </w:rPr>
            </w:pPr>
          </w:p>
        </w:tc>
        <w:tc>
          <w:tcPr>
            <w:tcW w:w="720" w:type="dxa"/>
            <w:vAlign w:val="center"/>
          </w:tcPr>
          <w:p w14:paraId="7A3E8CD8">
            <w:pPr>
              <w:pStyle w:val="42"/>
              <w:rPr>
                <w:color w:val="000000" w:themeColor="text1"/>
                <w14:textFill>
                  <w14:solidFill>
                    <w14:schemeClr w14:val="tx1"/>
                  </w14:solidFill>
                </w14:textFill>
              </w:rPr>
            </w:pPr>
          </w:p>
        </w:tc>
      </w:tr>
      <w:tr w14:paraId="65EE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75A395E4">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53C6CA13">
            <w:pPr>
              <w:pStyle w:val="42"/>
              <w:rPr>
                <w:color w:val="000000" w:themeColor="text1"/>
                <w14:textFill>
                  <w14:solidFill>
                    <w14:schemeClr w14:val="tx1"/>
                  </w14:solidFill>
                </w14:textFill>
              </w:rPr>
            </w:pPr>
          </w:p>
        </w:tc>
        <w:tc>
          <w:tcPr>
            <w:tcW w:w="898" w:type="dxa"/>
            <w:textDirection w:val="tbRlV"/>
            <w:vAlign w:val="center"/>
          </w:tcPr>
          <w:p w14:paraId="015A3A83">
            <w:pPr>
              <w:pStyle w:val="42"/>
              <w:ind w:left="113" w:right="113"/>
              <w:rPr>
                <w:color w:val="000000" w:themeColor="text1"/>
                <w:spacing w:val="73"/>
                <w:sz w:val="22"/>
                <w:szCs w:val="22"/>
                <w14:textFill>
                  <w14:solidFill>
                    <w14:schemeClr w14:val="tx1"/>
                  </w14:solidFill>
                </w14:textFill>
              </w:rPr>
            </w:pPr>
            <w:r>
              <w:rPr>
                <w:rFonts w:hint="eastAsia"/>
                <w:color w:val="000000" w:themeColor="text1"/>
                <w:spacing w:val="73"/>
                <w:kern w:val="0"/>
                <w:sz w:val="22"/>
                <w:szCs w:val="22"/>
                <w:fitText w:val="1320" w:id="-2072795903"/>
                <w14:textFill>
                  <w14:solidFill>
                    <w14:schemeClr w14:val="tx1"/>
                  </w14:solidFill>
                </w14:textFill>
              </w:rPr>
              <w:t>加工制</w:t>
            </w:r>
            <w:r>
              <w:rPr>
                <w:rFonts w:hint="eastAsia"/>
                <w:color w:val="000000" w:themeColor="text1"/>
                <w:spacing w:val="1"/>
                <w:kern w:val="0"/>
                <w:sz w:val="22"/>
                <w:szCs w:val="22"/>
                <w:fitText w:val="1320" w:id="-2072795903"/>
                <w14:textFill>
                  <w14:solidFill>
                    <w14:schemeClr w14:val="tx1"/>
                  </w14:solidFill>
                </w14:textFill>
              </w:rPr>
              <w:t>作</w:t>
            </w:r>
          </w:p>
        </w:tc>
        <w:tc>
          <w:tcPr>
            <w:tcW w:w="5580" w:type="dxa"/>
            <w:vAlign w:val="center"/>
          </w:tcPr>
          <w:p w14:paraId="0824047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）挂篮各部件加工完成后未进行试拼装，或无拼装记录扣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118D0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）挂篮采用螺栓连接进行拼装时对螺栓孔进行切割扩孔，扣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C5DDCF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）挂篮制作完成后未经厂家自检合格并出具合格证，扣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DEEB5C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）挂篮焊接各部位焊缝有焊接缺陷，每处扣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B7F56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）挂篮螺栓连接或销接连接不紧密、可靠，每处扣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7DD590F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31497FB">
            <w:pPr>
              <w:pStyle w:val="42"/>
              <w:rPr>
                <w:color w:val="000000" w:themeColor="text1"/>
                <w14:textFill>
                  <w14:solidFill>
                    <w14:schemeClr w14:val="tx1"/>
                  </w14:solidFill>
                </w14:textFill>
              </w:rPr>
            </w:pPr>
          </w:p>
        </w:tc>
        <w:tc>
          <w:tcPr>
            <w:tcW w:w="720" w:type="dxa"/>
            <w:vAlign w:val="center"/>
          </w:tcPr>
          <w:p w14:paraId="7031E704">
            <w:pPr>
              <w:pStyle w:val="42"/>
              <w:rPr>
                <w:color w:val="000000" w:themeColor="text1"/>
                <w14:textFill>
                  <w14:solidFill>
                    <w14:schemeClr w14:val="tx1"/>
                  </w14:solidFill>
                </w14:textFill>
              </w:rPr>
            </w:pPr>
          </w:p>
        </w:tc>
      </w:tr>
      <w:tr w14:paraId="40C30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14BA82EA">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06118D6A">
            <w:pPr>
              <w:pStyle w:val="42"/>
              <w:rPr>
                <w:color w:val="000000" w:themeColor="text1"/>
                <w14:textFill>
                  <w14:solidFill>
                    <w14:schemeClr w14:val="tx1"/>
                  </w14:solidFill>
                </w14:textFill>
              </w:rPr>
            </w:pPr>
          </w:p>
        </w:tc>
        <w:tc>
          <w:tcPr>
            <w:tcW w:w="898" w:type="dxa"/>
            <w:textDirection w:val="tbRlV"/>
            <w:vAlign w:val="center"/>
          </w:tcPr>
          <w:p w14:paraId="1A6612F5">
            <w:pPr>
              <w:pStyle w:val="42"/>
              <w:ind w:left="113" w:right="113"/>
              <w:rPr>
                <w:color w:val="000000" w:themeColor="text1"/>
                <w:sz w:val="22"/>
                <w:szCs w:val="22"/>
                <w14:textFill>
                  <w14:solidFill>
                    <w14:schemeClr w14:val="tx1"/>
                  </w14:solidFill>
                </w14:textFill>
              </w:rPr>
            </w:pPr>
            <w:r>
              <w:rPr>
                <w:rFonts w:hint="eastAsia"/>
                <w:color w:val="000000" w:themeColor="text1"/>
                <w:spacing w:val="73"/>
                <w:kern w:val="0"/>
                <w:sz w:val="22"/>
                <w:szCs w:val="22"/>
                <w:fitText w:val="1320" w:id="-2072795903"/>
                <w14:textFill>
                  <w14:solidFill>
                    <w14:schemeClr w14:val="tx1"/>
                  </w14:solidFill>
                </w14:textFill>
              </w:rPr>
              <w:t>挂篮结</w:t>
            </w:r>
            <w:r>
              <w:rPr>
                <w:rFonts w:hint="eastAsia"/>
                <w:color w:val="000000" w:themeColor="text1"/>
                <w:spacing w:val="1"/>
                <w:kern w:val="0"/>
                <w:sz w:val="22"/>
                <w:szCs w:val="22"/>
                <w:fitText w:val="1320" w:id="-2072795903"/>
                <w14:textFill>
                  <w14:solidFill>
                    <w14:schemeClr w14:val="tx1"/>
                  </w14:solidFill>
                </w14:textFill>
              </w:rPr>
              <w:t>构</w:t>
            </w:r>
          </w:p>
        </w:tc>
        <w:tc>
          <w:tcPr>
            <w:tcW w:w="5580" w:type="dxa"/>
            <w:vAlign w:val="center"/>
          </w:tcPr>
          <w:p w14:paraId="76EC7B5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）挂篮的总重量超出设计规定的限重范围，扣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6E4743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）吊篮的主桁架间横联的设置不满足方案设计的规定，扣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96B66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）连续梁墩顶梁段采用挂篮进行悬浇施工时，未按设计规定设置墩梁临时固结装置，扣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3517A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）采用挂篮浇筑主梁</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号段及相邻梁段浇筑施工时，采用的支架系统不牢固可靠或构造不合理，扣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8C224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）辅助支架搭设材料及构件的质量不符合相关标准的技术要求，扣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29FA84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）挂篮悬臂端最大变形应超过</w:t>
            </w:r>
            <w:r>
              <w:rPr>
                <w:color w:val="000000" w:themeColor="text1"/>
                <w14:textFill>
                  <w14:solidFill>
                    <w14:schemeClr w14:val="tx1"/>
                  </w14:solidFill>
                </w14:textFill>
              </w:rPr>
              <w:t>20mm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209ED7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）采用精轧螺纹钢筋作为吊杆时，未使用双螺帽锁紧，扣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F98461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）挂篮的行走装置、锚固装置未按方案设计规定的位置和方式进行设置，扣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548A4D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）挂篮在梁段混凝土浇筑及走行时的抗倾覆安全系数、自锚固系统的安全系数、斜拉水平限位系统的安全系数以及上下水平限位的安全系数，任何一项小于</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54FBDC7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8E8991D">
            <w:pPr>
              <w:pStyle w:val="42"/>
              <w:rPr>
                <w:color w:val="000000" w:themeColor="text1"/>
                <w14:textFill>
                  <w14:solidFill>
                    <w14:schemeClr w14:val="tx1"/>
                  </w14:solidFill>
                </w14:textFill>
              </w:rPr>
            </w:pPr>
          </w:p>
        </w:tc>
        <w:tc>
          <w:tcPr>
            <w:tcW w:w="720" w:type="dxa"/>
            <w:vAlign w:val="center"/>
          </w:tcPr>
          <w:p w14:paraId="557FEC61">
            <w:pPr>
              <w:pStyle w:val="42"/>
              <w:rPr>
                <w:color w:val="000000" w:themeColor="text1"/>
                <w14:textFill>
                  <w14:solidFill>
                    <w14:schemeClr w14:val="tx1"/>
                  </w14:solidFill>
                </w14:textFill>
              </w:rPr>
            </w:pPr>
          </w:p>
        </w:tc>
      </w:tr>
      <w:tr w14:paraId="1570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4757A2B0">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33E9702">
            <w:pPr>
              <w:pStyle w:val="42"/>
              <w:rPr>
                <w:color w:val="000000" w:themeColor="text1"/>
                <w14:textFill>
                  <w14:solidFill>
                    <w14:schemeClr w14:val="tx1"/>
                  </w14:solidFill>
                </w14:textFill>
              </w:rPr>
            </w:pPr>
          </w:p>
        </w:tc>
        <w:tc>
          <w:tcPr>
            <w:tcW w:w="898" w:type="dxa"/>
            <w:textDirection w:val="tbRlV"/>
            <w:vAlign w:val="center"/>
          </w:tcPr>
          <w:p w14:paraId="5F9BAEC0">
            <w:pPr>
              <w:pStyle w:val="42"/>
              <w:ind w:left="113" w:right="113"/>
              <w:rPr>
                <w:color w:val="000000" w:themeColor="text1"/>
                <w:sz w:val="22"/>
                <w:szCs w:val="22"/>
                <w14:textFill>
                  <w14:solidFill>
                    <w14:schemeClr w14:val="tx1"/>
                  </w14:solidFill>
                </w14:textFill>
              </w:rPr>
            </w:pPr>
            <w:r>
              <w:rPr>
                <w:rFonts w:hint="eastAsia"/>
                <w:color w:val="000000" w:themeColor="text1"/>
                <w:spacing w:val="27"/>
                <w:kern w:val="0"/>
                <w:sz w:val="22"/>
                <w:szCs w:val="22"/>
                <w:fitText w:val="1320" w:id="-2072795903"/>
                <w14:textFill>
                  <w14:solidFill>
                    <w14:schemeClr w14:val="tx1"/>
                  </w14:solidFill>
                </w14:textFill>
              </w:rPr>
              <w:t>行走与锚</w:t>
            </w:r>
            <w:r>
              <w:rPr>
                <w:rFonts w:hint="eastAsia"/>
                <w:color w:val="000000" w:themeColor="text1"/>
                <w:spacing w:val="2"/>
                <w:kern w:val="0"/>
                <w:sz w:val="22"/>
                <w:szCs w:val="22"/>
                <w:fitText w:val="1320" w:id="-2072795903"/>
                <w14:textFill>
                  <w14:solidFill>
                    <w14:schemeClr w14:val="tx1"/>
                  </w14:solidFill>
                </w14:textFill>
              </w:rPr>
              <w:t>固</w:t>
            </w:r>
          </w:p>
        </w:tc>
        <w:tc>
          <w:tcPr>
            <w:tcW w:w="5580" w:type="dxa"/>
            <w:vAlign w:val="center"/>
          </w:tcPr>
          <w:p w14:paraId="6E468D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）挂篮行走无专项操作指导书，扣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94111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）滑道或轨道铺设不平顺，扣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050FEA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）滑道或轨道未设置限位器或限位器设置不牢固，扣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D4FAE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）挂篮移动前未解除所有吊挂系统和模板系统的约束，或未完成悬吊系统的转换，扣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7B58C1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）挂篮移动前，未完成锚固体系的可靠转换，或未设置保险措施，扣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1A9845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）挂篮行走前未检查行走系统、吊挂系统和模板系统，或未形成检查记录，扣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72D94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）墩两侧挂篮移动不对称或不平稳，扣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39E71D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）挂篮行走速度超过</w:t>
            </w:r>
            <w:r>
              <w:rPr>
                <w:color w:val="000000" w:themeColor="text1"/>
                <w14:textFill>
                  <w14:solidFill>
                    <w14:schemeClr w14:val="tx1"/>
                  </w14:solidFill>
                </w14:textFill>
              </w:rPr>
              <w:t>0.1m/min</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78FF4C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）挂篮移动过程中未设置防倾覆装置，扣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E6C51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）挂篮行走到位后未及时锚固，扣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89CCD8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97307B6">
            <w:pPr>
              <w:pStyle w:val="42"/>
              <w:rPr>
                <w:color w:val="000000" w:themeColor="text1"/>
                <w14:textFill>
                  <w14:solidFill>
                    <w14:schemeClr w14:val="tx1"/>
                  </w14:solidFill>
                </w14:textFill>
              </w:rPr>
            </w:pPr>
          </w:p>
        </w:tc>
        <w:tc>
          <w:tcPr>
            <w:tcW w:w="720" w:type="dxa"/>
            <w:vAlign w:val="center"/>
          </w:tcPr>
          <w:p w14:paraId="164EB03A">
            <w:pPr>
              <w:pStyle w:val="42"/>
              <w:rPr>
                <w:color w:val="000000" w:themeColor="text1"/>
                <w14:textFill>
                  <w14:solidFill>
                    <w14:schemeClr w14:val="tx1"/>
                  </w14:solidFill>
                </w14:textFill>
              </w:rPr>
            </w:pPr>
          </w:p>
        </w:tc>
      </w:tr>
      <w:tr w14:paraId="30B0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142E25CF">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2272702A">
            <w:pPr>
              <w:pStyle w:val="42"/>
              <w:rPr>
                <w:color w:val="000000" w:themeColor="text1"/>
                <w14:textFill>
                  <w14:solidFill>
                    <w14:schemeClr w14:val="tx1"/>
                  </w14:solidFill>
                </w14:textFill>
              </w:rPr>
            </w:pPr>
          </w:p>
        </w:tc>
        <w:tc>
          <w:tcPr>
            <w:tcW w:w="898" w:type="dxa"/>
            <w:textDirection w:val="tbRlV"/>
            <w:vAlign w:val="center"/>
          </w:tcPr>
          <w:p w14:paraId="65D3A3A3">
            <w:pPr>
              <w:pStyle w:val="42"/>
              <w:ind w:left="113" w:right="113"/>
              <w:rPr>
                <w:color w:val="000000" w:themeColor="text1"/>
                <w:spacing w:val="27"/>
                <w:sz w:val="22"/>
                <w:szCs w:val="22"/>
                <w14:textFill>
                  <w14:solidFill>
                    <w14:schemeClr w14:val="tx1"/>
                  </w14:solidFill>
                </w14:textFill>
              </w:rPr>
            </w:pPr>
            <w:r>
              <w:rPr>
                <w:rFonts w:hint="eastAsia"/>
                <w:color w:val="000000" w:themeColor="text1"/>
                <w:spacing w:val="73"/>
                <w:kern w:val="0"/>
                <w:sz w:val="22"/>
                <w:szCs w:val="22"/>
                <w:fitText w:val="1320" w:id="-2072795903"/>
                <w14:textFill>
                  <w14:solidFill>
                    <w14:schemeClr w14:val="tx1"/>
                  </w14:solidFill>
                </w14:textFill>
              </w:rPr>
              <w:t>检查验</w:t>
            </w:r>
            <w:r>
              <w:rPr>
                <w:rFonts w:hint="eastAsia"/>
                <w:color w:val="000000" w:themeColor="text1"/>
                <w:spacing w:val="1"/>
                <w:kern w:val="0"/>
                <w:sz w:val="22"/>
                <w:szCs w:val="22"/>
                <w:fitText w:val="1320" w:id="-2072795903"/>
                <w14:textFill>
                  <w14:solidFill>
                    <w14:schemeClr w14:val="tx1"/>
                  </w14:solidFill>
                </w14:textFill>
              </w:rPr>
              <w:t>收</w:t>
            </w:r>
          </w:p>
        </w:tc>
        <w:tc>
          <w:tcPr>
            <w:tcW w:w="5580" w:type="dxa"/>
            <w:vAlign w:val="center"/>
          </w:tcPr>
          <w:p w14:paraId="1B37845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）挂篮设备进场时未对各构件规格、型号、尺寸、数量、外观质量和配件及专用工具的配备进行检查验收，扣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C190C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）墩顶</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号段及相邻两端浇筑施工时，采用的支架系统施工完成后未办理验收手续，扣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7EC25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）挂篮拼装完成后未办理检查验收签证手续，扣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B8CD5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）挂篮现场组拼后，未按规定的荷载进行模拟荷载试验，扣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D52C72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）挂篮行走前未检查行走系统、吊挂系统和模板系统，或未形成检查记录，扣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F5B32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）挂篮行走到位固定后浇筑混凝土前未检查锚固系统、悬挂系统和模板系统扣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6649D6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）验收未采用相关标准规定的表格或经审批的表格形成量化记录，或未经责任人签字确认，扣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2C5F85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）挂篮验收合格后未在明显位置悬挂验收合格牌的，扣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019B4F5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04C2209">
            <w:pPr>
              <w:pStyle w:val="42"/>
              <w:rPr>
                <w:color w:val="000000" w:themeColor="text1"/>
                <w14:textFill>
                  <w14:solidFill>
                    <w14:schemeClr w14:val="tx1"/>
                  </w14:solidFill>
                </w14:textFill>
              </w:rPr>
            </w:pPr>
          </w:p>
        </w:tc>
        <w:tc>
          <w:tcPr>
            <w:tcW w:w="720" w:type="dxa"/>
            <w:vAlign w:val="center"/>
          </w:tcPr>
          <w:p w14:paraId="767DA4DD">
            <w:pPr>
              <w:pStyle w:val="42"/>
              <w:rPr>
                <w:color w:val="000000" w:themeColor="text1"/>
                <w14:textFill>
                  <w14:solidFill>
                    <w14:schemeClr w14:val="tx1"/>
                  </w14:solidFill>
                </w14:textFill>
              </w:rPr>
            </w:pPr>
          </w:p>
        </w:tc>
      </w:tr>
      <w:tr w14:paraId="12A70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06E3ECD4">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5984580D">
            <w:pPr>
              <w:pStyle w:val="42"/>
              <w:rPr>
                <w:color w:val="000000" w:themeColor="text1"/>
                <w14:textFill>
                  <w14:solidFill>
                    <w14:schemeClr w14:val="tx1"/>
                  </w14:solidFill>
                </w14:textFill>
              </w:rPr>
            </w:pPr>
          </w:p>
        </w:tc>
        <w:tc>
          <w:tcPr>
            <w:tcW w:w="898" w:type="dxa"/>
            <w:textDirection w:val="tbRlV"/>
            <w:vAlign w:val="center"/>
          </w:tcPr>
          <w:p w14:paraId="62B91A1A">
            <w:pPr>
              <w:pStyle w:val="42"/>
              <w:ind w:left="113" w:right="113"/>
              <w:rPr>
                <w:color w:val="000000" w:themeColor="text1"/>
                <w:spacing w:val="27"/>
                <w:sz w:val="22"/>
                <w:szCs w:val="22"/>
                <w14:textFill>
                  <w14:solidFill>
                    <w14:schemeClr w14:val="tx1"/>
                  </w14:solidFill>
                </w14:textFill>
              </w:rPr>
            </w:pPr>
            <w:r>
              <w:rPr>
                <w:rFonts w:hint="eastAsia"/>
                <w:color w:val="000000" w:themeColor="text1"/>
                <w:spacing w:val="27"/>
                <w:kern w:val="0"/>
                <w:sz w:val="22"/>
                <w:szCs w:val="22"/>
                <w:fitText w:val="1320" w:id="-2072795648"/>
                <w14:textFill>
                  <w14:solidFill>
                    <w14:schemeClr w14:val="tx1"/>
                  </w14:solidFill>
                </w14:textFill>
              </w:rPr>
              <w:t>使用与监</w:t>
            </w:r>
            <w:r>
              <w:rPr>
                <w:rFonts w:hint="eastAsia"/>
                <w:color w:val="000000" w:themeColor="text1"/>
                <w:spacing w:val="2"/>
                <w:kern w:val="0"/>
                <w:sz w:val="22"/>
                <w:szCs w:val="22"/>
                <w:fitText w:val="1320" w:id="-2072795648"/>
                <w14:textFill>
                  <w14:solidFill>
                    <w14:schemeClr w14:val="tx1"/>
                  </w14:solidFill>
                </w14:textFill>
              </w:rPr>
              <w:t>测</w:t>
            </w:r>
          </w:p>
        </w:tc>
        <w:tc>
          <w:tcPr>
            <w:tcW w:w="5580" w:type="dxa"/>
            <w:vAlign w:val="center"/>
          </w:tcPr>
          <w:p w14:paraId="5C2C72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）挂篮使用中，千斤顶、滑道、手拉葫芦、钢丝绳、保险绳、后锚固筋及连接器等未处于完好的状态，扣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424024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）挂篮使用前，未在显著位置悬挂挂篮安全使用规程，扣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3EFBEF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）两悬臂端挂篮上的荷载不平衡偏差超过设计的规定，或同一挂篮轴线两侧的荷载不均衡，扣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040BE2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）混凝土未从悬臂端向已完梁段的顺序分层浇筑的，扣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28E11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）挂篮浇筑作业面上的施工荷载超过挂篮设计规定，扣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BEC95E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）挂篮使用过程中未对挂篮各部位的变形进行监测，或未形成监测记录，扣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DA93E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）在精轧螺纹钢筋吊杆上进行电焊、搭火作业，扣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86F9F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）挂篮行走过程中，构件上站人，扣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C5741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）雨雪天或风力超过挂篮设计移动风力时进行挂篮移动，扣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B102F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）挂篮现场使用单位未对其安全技术记录资料建立安全技术档案，扣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41BDDB2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930CF9A">
            <w:pPr>
              <w:pStyle w:val="42"/>
              <w:rPr>
                <w:color w:val="000000" w:themeColor="text1"/>
                <w14:textFill>
                  <w14:solidFill>
                    <w14:schemeClr w14:val="tx1"/>
                  </w14:solidFill>
                </w14:textFill>
              </w:rPr>
            </w:pPr>
          </w:p>
        </w:tc>
        <w:tc>
          <w:tcPr>
            <w:tcW w:w="720" w:type="dxa"/>
            <w:vAlign w:val="center"/>
          </w:tcPr>
          <w:p w14:paraId="1719D4BB">
            <w:pPr>
              <w:pStyle w:val="42"/>
              <w:rPr>
                <w:color w:val="000000" w:themeColor="text1"/>
                <w14:textFill>
                  <w14:solidFill>
                    <w14:schemeClr w14:val="tx1"/>
                  </w14:solidFill>
                </w14:textFill>
              </w:rPr>
            </w:pPr>
          </w:p>
        </w:tc>
      </w:tr>
      <w:tr w14:paraId="53A20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695FB2E">
            <w:pPr>
              <w:pStyle w:val="42"/>
              <w:rPr>
                <w:color w:val="000000" w:themeColor="text1"/>
                <w14:textFill>
                  <w14:solidFill>
                    <w14:schemeClr w14:val="tx1"/>
                  </w14:solidFill>
                </w14:textFill>
              </w:rPr>
            </w:pPr>
          </w:p>
        </w:tc>
        <w:tc>
          <w:tcPr>
            <w:tcW w:w="543" w:type="dxa"/>
            <w:vMerge w:val="continue"/>
          </w:tcPr>
          <w:p w14:paraId="3DF8C98E">
            <w:pPr>
              <w:pStyle w:val="42"/>
              <w:rPr>
                <w:color w:val="000000" w:themeColor="text1"/>
                <w14:textFill>
                  <w14:solidFill>
                    <w14:schemeClr w14:val="tx1"/>
                  </w14:solidFill>
                </w14:textFill>
              </w:rPr>
            </w:pPr>
          </w:p>
        </w:tc>
        <w:tc>
          <w:tcPr>
            <w:tcW w:w="6478" w:type="dxa"/>
            <w:gridSpan w:val="2"/>
            <w:vAlign w:val="center"/>
          </w:tcPr>
          <w:p w14:paraId="2932562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57C82FBE">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3E91A2DB">
            <w:pPr>
              <w:pStyle w:val="42"/>
              <w:rPr>
                <w:color w:val="000000" w:themeColor="text1"/>
                <w14:textFill>
                  <w14:solidFill>
                    <w14:schemeClr w14:val="tx1"/>
                  </w14:solidFill>
                </w14:textFill>
              </w:rPr>
            </w:pPr>
          </w:p>
        </w:tc>
        <w:tc>
          <w:tcPr>
            <w:tcW w:w="720" w:type="dxa"/>
            <w:vAlign w:val="center"/>
          </w:tcPr>
          <w:p w14:paraId="0003FF88">
            <w:pPr>
              <w:pStyle w:val="42"/>
              <w:rPr>
                <w:color w:val="000000" w:themeColor="text1"/>
                <w14:textFill>
                  <w14:solidFill>
                    <w14:schemeClr w14:val="tx1"/>
                  </w14:solidFill>
                </w14:textFill>
              </w:rPr>
            </w:pPr>
          </w:p>
        </w:tc>
      </w:tr>
      <w:tr w14:paraId="07FD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2B4F2396">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888030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2F581D1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51D234F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3AF23B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textDirection w:val="tbRlV"/>
            <w:vAlign w:val="center"/>
          </w:tcPr>
          <w:p w14:paraId="78ACE9D9">
            <w:pPr>
              <w:pStyle w:val="42"/>
              <w:ind w:left="113" w:right="113"/>
              <w:rPr>
                <w:color w:val="000000" w:themeColor="text1"/>
                <w14:textFill>
                  <w14:solidFill>
                    <w14:schemeClr w14:val="tx1"/>
                  </w14:solidFill>
                </w14:textFill>
              </w:rPr>
            </w:pPr>
            <w:r>
              <w:rPr>
                <w:rFonts w:hint="eastAsia"/>
                <w:color w:val="000000" w:themeColor="text1"/>
                <w:spacing w:val="35"/>
                <w:kern w:val="0"/>
                <w:fitText w:val="1050" w:id="-2072795646"/>
                <w14:textFill>
                  <w14:solidFill>
                    <w14:schemeClr w14:val="tx1"/>
                  </w14:solidFill>
                </w14:textFill>
              </w:rPr>
              <w:t>预留预</w:t>
            </w:r>
            <w:r>
              <w:rPr>
                <w:rFonts w:hint="eastAsia"/>
                <w:color w:val="000000" w:themeColor="text1"/>
                <w:spacing w:val="0"/>
                <w:kern w:val="0"/>
                <w:fitText w:val="1050" w:id="-2072795646"/>
                <w14:textFill>
                  <w14:solidFill>
                    <w14:schemeClr w14:val="tx1"/>
                  </w14:solidFill>
                </w14:textFill>
              </w:rPr>
              <w:t>埋</w:t>
            </w:r>
          </w:p>
        </w:tc>
        <w:tc>
          <w:tcPr>
            <w:tcW w:w="5580" w:type="dxa"/>
            <w:vAlign w:val="center"/>
          </w:tcPr>
          <w:p w14:paraId="472765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）预留孔数量、位置、尺寸不符合专项施工方案的要求，每处扣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530239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）预埋件型号、位置、标高不符合专项施工方案要求，扣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tc>
        <w:tc>
          <w:tcPr>
            <w:tcW w:w="720" w:type="dxa"/>
            <w:vAlign w:val="center"/>
          </w:tcPr>
          <w:p w14:paraId="25E8890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5EA6C2E">
            <w:pPr>
              <w:pStyle w:val="42"/>
              <w:rPr>
                <w:color w:val="000000" w:themeColor="text1"/>
                <w14:textFill>
                  <w14:solidFill>
                    <w14:schemeClr w14:val="tx1"/>
                  </w14:solidFill>
                </w14:textFill>
              </w:rPr>
            </w:pPr>
          </w:p>
        </w:tc>
        <w:tc>
          <w:tcPr>
            <w:tcW w:w="720" w:type="dxa"/>
            <w:vAlign w:val="center"/>
          </w:tcPr>
          <w:p w14:paraId="1B3027A0">
            <w:pPr>
              <w:pStyle w:val="42"/>
              <w:rPr>
                <w:color w:val="000000" w:themeColor="text1"/>
                <w14:textFill>
                  <w14:solidFill>
                    <w14:schemeClr w14:val="tx1"/>
                  </w14:solidFill>
                </w14:textFill>
              </w:rPr>
            </w:pPr>
          </w:p>
        </w:tc>
      </w:tr>
      <w:tr w14:paraId="579CB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354374F0">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C0C6E86">
            <w:pPr>
              <w:pStyle w:val="42"/>
              <w:rPr>
                <w:color w:val="000000" w:themeColor="text1"/>
                <w14:textFill>
                  <w14:solidFill>
                    <w14:schemeClr w14:val="tx1"/>
                  </w14:solidFill>
                </w14:textFill>
              </w:rPr>
            </w:pPr>
          </w:p>
        </w:tc>
        <w:tc>
          <w:tcPr>
            <w:tcW w:w="898" w:type="dxa"/>
            <w:textDirection w:val="tbRlV"/>
            <w:vAlign w:val="center"/>
          </w:tcPr>
          <w:p w14:paraId="6B3FEBD6">
            <w:pPr>
              <w:pStyle w:val="42"/>
              <w:ind w:left="113" w:right="113"/>
              <w:rPr>
                <w:color w:val="000000" w:themeColor="text1"/>
                <w:spacing w:val="73"/>
                <w:sz w:val="22"/>
                <w:szCs w:val="22"/>
                <w14:textFill>
                  <w14:solidFill>
                    <w14:schemeClr w14:val="tx1"/>
                  </w14:solidFill>
                </w14:textFill>
              </w:rPr>
            </w:pPr>
            <w:r>
              <w:rPr>
                <w:rFonts w:hint="eastAsia"/>
                <w:color w:val="000000" w:themeColor="text1"/>
                <w:spacing w:val="73"/>
                <w:kern w:val="0"/>
                <w:sz w:val="22"/>
                <w:szCs w:val="22"/>
                <w:fitText w:val="1320" w:id="-2072795903"/>
                <w14:textFill>
                  <w14:solidFill>
                    <w14:schemeClr w14:val="tx1"/>
                  </w14:solidFill>
                </w14:textFill>
              </w:rPr>
              <w:t>安全防</w:t>
            </w:r>
            <w:r>
              <w:rPr>
                <w:rFonts w:hint="eastAsia"/>
                <w:color w:val="000000" w:themeColor="text1"/>
                <w:spacing w:val="1"/>
                <w:kern w:val="0"/>
                <w:sz w:val="22"/>
                <w:szCs w:val="22"/>
                <w:fitText w:val="1320" w:id="-2072795903"/>
                <w14:textFill>
                  <w14:solidFill>
                    <w14:schemeClr w14:val="tx1"/>
                  </w14:solidFill>
                </w14:textFill>
              </w:rPr>
              <w:t>护</w:t>
            </w:r>
          </w:p>
        </w:tc>
        <w:tc>
          <w:tcPr>
            <w:tcW w:w="5580" w:type="dxa"/>
            <w:vAlign w:val="center"/>
          </w:tcPr>
          <w:p w14:paraId="650C64B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）挂篮临边作业处未设置操作平台，扣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分，操作平台不稳固，扣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1B7A23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）操作平台未牢固满铺脚手板，扣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664305B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）操作平台未按规定设置栏杆、挡脚板和安全立网，扣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929C0F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）上下操作平台间未设置梯道，扣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分，梯道设置不牢固或不畅通，扣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0BE468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）跨（临）铁路、道路、航道的挂篮下部未设置能防止穿透的防护棚，扣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16FADF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）起重设备、混凝土输送管、脚手架、物料周转平台等设施与挂篮相连接，扣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517681B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8251483">
            <w:pPr>
              <w:pStyle w:val="42"/>
              <w:rPr>
                <w:color w:val="000000" w:themeColor="text1"/>
                <w14:textFill>
                  <w14:solidFill>
                    <w14:schemeClr w14:val="tx1"/>
                  </w14:solidFill>
                </w14:textFill>
              </w:rPr>
            </w:pPr>
          </w:p>
        </w:tc>
        <w:tc>
          <w:tcPr>
            <w:tcW w:w="720" w:type="dxa"/>
            <w:vAlign w:val="center"/>
          </w:tcPr>
          <w:p w14:paraId="6BEC0081">
            <w:pPr>
              <w:pStyle w:val="42"/>
              <w:rPr>
                <w:color w:val="000000" w:themeColor="text1"/>
                <w14:textFill>
                  <w14:solidFill>
                    <w14:schemeClr w14:val="tx1"/>
                  </w14:solidFill>
                </w14:textFill>
              </w:rPr>
            </w:pPr>
          </w:p>
        </w:tc>
      </w:tr>
      <w:tr w14:paraId="36035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4E160A10">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7DAED6B2">
            <w:pPr>
              <w:pStyle w:val="42"/>
              <w:rPr>
                <w:color w:val="000000" w:themeColor="text1"/>
                <w14:textFill>
                  <w14:solidFill>
                    <w14:schemeClr w14:val="tx1"/>
                  </w14:solidFill>
                </w14:textFill>
              </w:rPr>
            </w:pPr>
          </w:p>
        </w:tc>
        <w:tc>
          <w:tcPr>
            <w:tcW w:w="898" w:type="dxa"/>
            <w:textDirection w:val="tbRlV"/>
            <w:vAlign w:val="center"/>
          </w:tcPr>
          <w:p w14:paraId="5B96A000">
            <w:pPr>
              <w:pStyle w:val="42"/>
              <w:ind w:left="113" w:right="113"/>
              <w:rPr>
                <w:color w:val="000000" w:themeColor="text1"/>
                <w:spacing w:val="73"/>
                <w:sz w:val="22"/>
                <w:szCs w:val="22"/>
                <w14:textFill>
                  <w14:solidFill>
                    <w14:schemeClr w14:val="tx1"/>
                  </w14:solidFill>
                </w14:textFill>
              </w:rPr>
            </w:pPr>
            <w:r>
              <w:rPr>
                <w:rFonts w:hint="eastAsia"/>
                <w:color w:val="000000" w:themeColor="text1"/>
                <w:spacing w:val="73"/>
                <w:kern w:val="0"/>
                <w:sz w:val="22"/>
                <w:szCs w:val="22"/>
                <w:fitText w:val="1320" w:id="-2072795903"/>
                <w14:textFill>
                  <w14:solidFill>
                    <w14:schemeClr w14:val="tx1"/>
                  </w14:solidFill>
                </w14:textFill>
              </w:rPr>
              <w:t>挂篮拆</w:t>
            </w:r>
            <w:r>
              <w:rPr>
                <w:rFonts w:hint="eastAsia"/>
                <w:color w:val="000000" w:themeColor="text1"/>
                <w:spacing w:val="1"/>
                <w:kern w:val="0"/>
                <w:sz w:val="22"/>
                <w:szCs w:val="22"/>
                <w:fitText w:val="1320" w:id="-2072795903"/>
                <w14:textFill>
                  <w14:solidFill>
                    <w14:schemeClr w14:val="tx1"/>
                  </w14:solidFill>
                </w14:textFill>
              </w:rPr>
              <w:t>除</w:t>
            </w:r>
          </w:p>
        </w:tc>
        <w:tc>
          <w:tcPr>
            <w:tcW w:w="5580" w:type="dxa"/>
            <w:vAlign w:val="center"/>
          </w:tcPr>
          <w:p w14:paraId="797395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）挂篮拆除前未向现场管理人员和作业人员进行安全技术交底，扣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543CA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）挂篮后移过程中未设专人统一指挥，扣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F6293F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）拆除作业未按照先拆除模板和吊挂系统后拆除主桁受力系统的顺序进行，扣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F5E1EA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）模板系统和吊挂系统拆除时未完成体系转换，扣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7B0B3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）两悬臂端挂篮后移和拆除未按照对称同步的顺序进行，扣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4117B2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）挂篮拆除过程中前端堆放物料，扣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20" w:type="dxa"/>
            <w:vAlign w:val="center"/>
          </w:tcPr>
          <w:p w14:paraId="5B7E58F6">
            <w:pPr>
              <w:pStyle w:val="42"/>
              <w:rPr>
                <w:color w:val="000000" w:themeColor="text1"/>
                <w14:textFill>
                  <w14:solidFill>
                    <w14:schemeClr w14:val="tx1"/>
                  </w14:solidFill>
                </w14:textFill>
              </w:rPr>
            </w:pPr>
            <w:r>
              <w:rPr>
                <w:color w:val="000000" w:themeColor="text1"/>
                <w14:textFill>
                  <w14:solidFill>
                    <w14:schemeClr w14:val="tx1"/>
                  </w14:solidFill>
                </w14:textFill>
              </w:rPr>
              <w:t xml:space="preserve">10 </w:t>
            </w:r>
          </w:p>
        </w:tc>
        <w:tc>
          <w:tcPr>
            <w:tcW w:w="720" w:type="dxa"/>
            <w:vAlign w:val="center"/>
          </w:tcPr>
          <w:p w14:paraId="6CE4E5A4">
            <w:pPr>
              <w:pStyle w:val="42"/>
              <w:rPr>
                <w:color w:val="000000" w:themeColor="text1"/>
                <w14:textFill>
                  <w14:solidFill>
                    <w14:schemeClr w14:val="tx1"/>
                  </w14:solidFill>
                </w14:textFill>
              </w:rPr>
            </w:pPr>
          </w:p>
        </w:tc>
        <w:tc>
          <w:tcPr>
            <w:tcW w:w="720" w:type="dxa"/>
            <w:vAlign w:val="center"/>
          </w:tcPr>
          <w:p w14:paraId="7CF43769">
            <w:pPr>
              <w:pStyle w:val="42"/>
              <w:rPr>
                <w:color w:val="000000" w:themeColor="text1"/>
                <w14:textFill>
                  <w14:solidFill>
                    <w14:schemeClr w14:val="tx1"/>
                  </w14:solidFill>
                </w14:textFill>
              </w:rPr>
            </w:pPr>
          </w:p>
        </w:tc>
      </w:tr>
      <w:tr w14:paraId="1D77D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6F21F0E">
            <w:pPr>
              <w:pStyle w:val="42"/>
              <w:rPr>
                <w:color w:val="000000" w:themeColor="text1"/>
                <w14:textFill>
                  <w14:solidFill>
                    <w14:schemeClr w14:val="tx1"/>
                  </w14:solidFill>
                </w14:textFill>
              </w:rPr>
            </w:pPr>
          </w:p>
        </w:tc>
        <w:tc>
          <w:tcPr>
            <w:tcW w:w="543" w:type="dxa"/>
            <w:vMerge w:val="continue"/>
          </w:tcPr>
          <w:p w14:paraId="45784E87">
            <w:pPr>
              <w:pStyle w:val="42"/>
              <w:rPr>
                <w:color w:val="000000" w:themeColor="text1"/>
                <w14:textFill>
                  <w14:solidFill>
                    <w14:schemeClr w14:val="tx1"/>
                  </w14:solidFill>
                </w14:textFill>
              </w:rPr>
            </w:pPr>
          </w:p>
        </w:tc>
        <w:tc>
          <w:tcPr>
            <w:tcW w:w="6478" w:type="dxa"/>
            <w:gridSpan w:val="2"/>
            <w:vAlign w:val="center"/>
          </w:tcPr>
          <w:p w14:paraId="27F2C05A">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3F25569D">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42DA8185">
            <w:pPr>
              <w:pStyle w:val="42"/>
              <w:rPr>
                <w:color w:val="000000" w:themeColor="text1"/>
                <w14:textFill>
                  <w14:solidFill>
                    <w14:schemeClr w14:val="tx1"/>
                  </w14:solidFill>
                </w14:textFill>
              </w:rPr>
            </w:pPr>
          </w:p>
        </w:tc>
        <w:tc>
          <w:tcPr>
            <w:tcW w:w="720" w:type="dxa"/>
            <w:vAlign w:val="center"/>
          </w:tcPr>
          <w:p w14:paraId="115D1425">
            <w:pPr>
              <w:pStyle w:val="42"/>
              <w:rPr>
                <w:color w:val="000000" w:themeColor="text1"/>
                <w14:textFill>
                  <w14:solidFill>
                    <w14:schemeClr w14:val="tx1"/>
                  </w14:solidFill>
                </w14:textFill>
              </w:rPr>
            </w:pPr>
          </w:p>
        </w:tc>
      </w:tr>
      <w:tr w14:paraId="29D2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3EC58FE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51CA880B">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039E5716">
            <w:pPr>
              <w:pStyle w:val="42"/>
              <w:rPr>
                <w:color w:val="000000" w:themeColor="text1"/>
                <w14:textFill>
                  <w14:solidFill>
                    <w14:schemeClr w14:val="tx1"/>
                  </w14:solidFill>
                </w14:textFill>
              </w:rPr>
            </w:pPr>
          </w:p>
        </w:tc>
        <w:tc>
          <w:tcPr>
            <w:tcW w:w="720" w:type="dxa"/>
            <w:vAlign w:val="center"/>
          </w:tcPr>
          <w:p w14:paraId="206DDA9A">
            <w:pPr>
              <w:pStyle w:val="42"/>
              <w:rPr>
                <w:color w:val="000000" w:themeColor="text1"/>
                <w14:textFill>
                  <w14:solidFill>
                    <w14:schemeClr w14:val="tx1"/>
                  </w14:solidFill>
                </w14:textFill>
              </w:rPr>
            </w:pPr>
          </w:p>
        </w:tc>
      </w:tr>
    </w:tbl>
    <w:p w14:paraId="47005247">
      <w:pPr>
        <w:rPr>
          <w:color w:val="000000" w:themeColor="text1"/>
          <w14:textFill>
            <w14:solidFill>
              <w14:schemeClr w14:val="tx1"/>
            </w14:solidFill>
          </w14:textFill>
        </w:rPr>
      </w:pPr>
    </w:p>
    <w:p w14:paraId="644C2018">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0" w:name="_Toc29695"/>
      <w:bookmarkStart w:id="61" w:name="_Toc30422"/>
      <w:bookmarkStart w:id="62" w:name="_Toc264"/>
      <w:r>
        <w:rPr>
          <w:rFonts w:hint="eastAsia"/>
          <w:color w:val="000000" w:themeColor="text1"/>
          <w14:textFill>
            <w14:solidFill>
              <w14:schemeClr w14:val="tx1"/>
            </w14:solidFill>
          </w14:textFill>
        </w:rPr>
        <w:t>表</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 xml:space="preserve">  大模板检查</w:t>
      </w:r>
      <w:r>
        <w:rPr>
          <w:color w:val="000000" w:themeColor="text1"/>
          <w14:textFill>
            <w14:solidFill>
              <w14:schemeClr w14:val="tx1"/>
            </w14:solidFill>
          </w14:textFill>
        </w:rPr>
        <w:t>评分表</w:t>
      </w:r>
      <w:bookmarkEnd w:id="60"/>
      <w:bookmarkEnd w:id="61"/>
      <w:bookmarkEnd w:id="62"/>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51E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22B03A7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209796C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5E47DEA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16C883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442C3DD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52E93CDE">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1679B83A">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71A26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0EB55755">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553A03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2F6028D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7EBF7B8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AED2B8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7BB6A21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275CC21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）未编制专项施工方案或未进行设计计算，扣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200C1E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3C3C2B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D5349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）专项方案交底无针对性或无文字记录，扣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tc>
        <w:tc>
          <w:tcPr>
            <w:tcW w:w="720" w:type="dxa"/>
            <w:vAlign w:val="center"/>
          </w:tcPr>
          <w:p w14:paraId="0BC9EEC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D0D24C6">
            <w:pPr>
              <w:pStyle w:val="42"/>
              <w:rPr>
                <w:color w:val="000000" w:themeColor="text1"/>
                <w14:textFill>
                  <w14:solidFill>
                    <w14:schemeClr w14:val="tx1"/>
                  </w14:solidFill>
                </w14:textFill>
              </w:rPr>
            </w:pPr>
          </w:p>
        </w:tc>
        <w:tc>
          <w:tcPr>
            <w:tcW w:w="720" w:type="dxa"/>
            <w:vAlign w:val="center"/>
          </w:tcPr>
          <w:p w14:paraId="1CACEAF0">
            <w:pPr>
              <w:pStyle w:val="42"/>
              <w:rPr>
                <w:color w:val="000000" w:themeColor="text1"/>
                <w14:textFill>
                  <w14:solidFill>
                    <w14:schemeClr w14:val="tx1"/>
                  </w14:solidFill>
                </w14:textFill>
              </w:rPr>
            </w:pPr>
          </w:p>
        </w:tc>
      </w:tr>
      <w:tr w14:paraId="5B77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7CC48750">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22EA2CC3">
            <w:pPr>
              <w:pStyle w:val="42"/>
              <w:rPr>
                <w:color w:val="000000" w:themeColor="text1"/>
                <w14:textFill>
                  <w14:solidFill>
                    <w14:schemeClr w14:val="tx1"/>
                  </w14:solidFill>
                </w14:textFill>
              </w:rPr>
            </w:pPr>
          </w:p>
        </w:tc>
        <w:tc>
          <w:tcPr>
            <w:tcW w:w="898" w:type="dxa"/>
            <w:vAlign w:val="center"/>
          </w:tcPr>
          <w:p w14:paraId="5B25D48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支架系统</w:t>
            </w:r>
          </w:p>
        </w:tc>
        <w:tc>
          <w:tcPr>
            <w:tcW w:w="5580" w:type="dxa"/>
            <w:vAlign w:val="center"/>
          </w:tcPr>
          <w:p w14:paraId="5AF62C2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）大模板的主承载结构与已浇筑结构连接构造不符合专项施工方案的规定，或传力不明确、可靠，扣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1F0EFE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）主承载结构水平布置间距不符合专项施工方案的规定，或未与对拉螺栓孔位对应，扣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1A53C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）主承载结构未按起吊单元采用纵向连系梁将平面架体连成整体，扣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090B4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）支架系统外侧及底部未设置安全平网兜底，扣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234B6B1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412DEE9">
            <w:pPr>
              <w:pStyle w:val="42"/>
              <w:rPr>
                <w:color w:val="000000" w:themeColor="text1"/>
                <w14:textFill>
                  <w14:solidFill>
                    <w14:schemeClr w14:val="tx1"/>
                  </w14:solidFill>
                </w14:textFill>
              </w:rPr>
            </w:pPr>
          </w:p>
        </w:tc>
        <w:tc>
          <w:tcPr>
            <w:tcW w:w="720" w:type="dxa"/>
            <w:vAlign w:val="center"/>
          </w:tcPr>
          <w:p w14:paraId="34B8E537">
            <w:pPr>
              <w:pStyle w:val="42"/>
              <w:rPr>
                <w:color w:val="000000" w:themeColor="text1"/>
                <w14:textFill>
                  <w14:solidFill>
                    <w14:schemeClr w14:val="tx1"/>
                  </w14:solidFill>
                </w14:textFill>
              </w:rPr>
            </w:pPr>
          </w:p>
        </w:tc>
      </w:tr>
      <w:tr w14:paraId="67B2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D160B87">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4EDB44D">
            <w:pPr>
              <w:pStyle w:val="42"/>
              <w:rPr>
                <w:color w:val="000000" w:themeColor="text1"/>
                <w14:textFill>
                  <w14:solidFill>
                    <w14:schemeClr w14:val="tx1"/>
                  </w14:solidFill>
                </w14:textFill>
              </w:rPr>
            </w:pPr>
          </w:p>
        </w:tc>
        <w:tc>
          <w:tcPr>
            <w:tcW w:w="898" w:type="dxa"/>
            <w:vAlign w:val="center"/>
          </w:tcPr>
          <w:p w14:paraId="037047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支撑系统</w:t>
            </w:r>
          </w:p>
        </w:tc>
        <w:tc>
          <w:tcPr>
            <w:tcW w:w="5580" w:type="dxa"/>
            <w:vAlign w:val="center"/>
          </w:tcPr>
          <w:p w14:paraId="369E41C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）支撑系统的设置位置、间距和型号不符合专项施工方案的规定，扣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46621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）支撑系统的面板垂直度调节范围不满足调整模板竖放自稳角的需要，扣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D86455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）支撑件未支在主肋或背楞上，扣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40945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）承力座未支承在刚性结构上，或未与支承结构可靠固定，扣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6FD2B87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2134573">
            <w:pPr>
              <w:pStyle w:val="42"/>
              <w:rPr>
                <w:color w:val="000000" w:themeColor="text1"/>
                <w14:textFill>
                  <w14:solidFill>
                    <w14:schemeClr w14:val="tx1"/>
                  </w14:solidFill>
                </w14:textFill>
              </w:rPr>
            </w:pPr>
          </w:p>
        </w:tc>
        <w:tc>
          <w:tcPr>
            <w:tcW w:w="720" w:type="dxa"/>
            <w:vAlign w:val="center"/>
          </w:tcPr>
          <w:p w14:paraId="706AECCF">
            <w:pPr>
              <w:pStyle w:val="42"/>
              <w:rPr>
                <w:color w:val="000000" w:themeColor="text1"/>
                <w14:textFill>
                  <w14:solidFill>
                    <w14:schemeClr w14:val="tx1"/>
                  </w14:solidFill>
                </w14:textFill>
              </w:rPr>
            </w:pPr>
          </w:p>
        </w:tc>
      </w:tr>
      <w:tr w14:paraId="15E31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2DBC3D1">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6A1EF20A">
            <w:pPr>
              <w:pStyle w:val="42"/>
              <w:rPr>
                <w:color w:val="000000" w:themeColor="text1"/>
                <w14:textFill>
                  <w14:solidFill>
                    <w14:schemeClr w14:val="tx1"/>
                  </w14:solidFill>
                </w14:textFill>
              </w:rPr>
            </w:pPr>
          </w:p>
        </w:tc>
        <w:tc>
          <w:tcPr>
            <w:tcW w:w="898" w:type="dxa"/>
            <w:vAlign w:val="center"/>
          </w:tcPr>
          <w:p w14:paraId="07F362F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对拉螺栓</w:t>
            </w:r>
          </w:p>
        </w:tc>
        <w:tc>
          <w:tcPr>
            <w:tcW w:w="5580" w:type="dxa"/>
            <w:vAlign w:val="center"/>
          </w:tcPr>
          <w:p w14:paraId="5E374F8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）对拉螺栓应采用性能低于</w:t>
            </w:r>
            <w:r>
              <w:rPr>
                <w:color w:val="000000" w:themeColor="text1"/>
                <w14:textFill>
                  <w14:solidFill>
                    <w14:schemeClr w14:val="tx1"/>
                  </w14:solidFill>
                </w14:textFill>
              </w:rPr>
              <w:t xml:space="preserve"> Q235B </w:t>
            </w:r>
            <w:r>
              <w:rPr>
                <w:rFonts w:hint="eastAsia"/>
                <w:color w:val="000000" w:themeColor="text1"/>
                <w14:textFill>
                  <w14:solidFill>
                    <w14:schemeClr w14:val="tx1"/>
                  </w14:solidFill>
                </w14:textFill>
              </w:rPr>
              <w:t>的钢材制作，扣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EECC2C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）对拉螺栓型号不符合专项施工方案的规定，或小于</w:t>
            </w:r>
            <w:r>
              <w:rPr>
                <w:color w:val="000000" w:themeColor="text1"/>
                <w14:textFill>
                  <w14:solidFill>
                    <w14:schemeClr w14:val="tx1"/>
                  </w14:solidFill>
                </w14:textFill>
              </w:rPr>
              <w:t>M28</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1C7D0B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）对拉螺栓位置未设置在背楞上，或间距不符合专项施工方案的规定，扣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BDA1E0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23D9801">
            <w:pPr>
              <w:pStyle w:val="42"/>
              <w:rPr>
                <w:color w:val="000000" w:themeColor="text1"/>
                <w14:textFill>
                  <w14:solidFill>
                    <w14:schemeClr w14:val="tx1"/>
                  </w14:solidFill>
                </w14:textFill>
              </w:rPr>
            </w:pPr>
          </w:p>
        </w:tc>
        <w:tc>
          <w:tcPr>
            <w:tcW w:w="720" w:type="dxa"/>
            <w:vAlign w:val="center"/>
          </w:tcPr>
          <w:p w14:paraId="630E4EAF">
            <w:pPr>
              <w:pStyle w:val="42"/>
              <w:rPr>
                <w:color w:val="000000" w:themeColor="text1"/>
                <w14:textFill>
                  <w14:solidFill>
                    <w14:schemeClr w14:val="tx1"/>
                  </w14:solidFill>
                </w14:textFill>
              </w:rPr>
            </w:pPr>
          </w:p>
        </w:tc>
      </w:tr>
      <w:tr w14:paraId="7D6A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273F0520">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581FD811">
            <w:pPr>
              <w:pStyle w:val="42"/>
              <w:rPr>
                <w:color w:val="000000" w:themeColor="text1"/>
                <w14:textFill>
                  <w14:solidFill>
                    <w14:schemeClr w14:val="tx1"/>
                  </w14:solidFill>
                </w14:textFill>
              </w:rPr>
            </w:pPr>
          </w:p>
        </w:tc>
        <w:tc>
          <w:tcPr>
            <w:tcW w:w="898" w:type="dxa"/>
            <w:vAlign w:val="center"/>
          </w:tcPr>
          <w:p w14:paraId="29E062A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面板系统</w:t>
            </w:r>
          </w:p>
        </w:tc>
        <w:tc>
          <w:tcPr>
            <w:tcW w:w="5580" w:type="dxa"/>
            <w:vAlign w:val="center"/>
          </w:tcPr>
          <w:p w14:paraId="00326F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）面板材质、规格、型号不符合专项施工方案的规定，扣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AC0D4F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）主肋与背楞的尺寸、间距不符合专项施工方案的规定，扣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D13F7D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）主肋与背楞连接后有相对运动，扣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49A0CCE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921A03C">
            <w:pPr>
              <w:pStyle w:val="42"/>
              <w:rPr>
                <w:color w:val="000000" w:themeColor="text1"/>
                <w14:textFill>
                  <w14:solidFill>
                    <w14:schemeClr w14:val="tx1"/>
                  </w14:solidFill>
                </w14:textFill>
              </w:rPr>
            </w:pPr>
          </w:p>
        </w:tc>
        <w:tc>
          <w:tcPr>
            <w:tcW w:w="720" w:type="dxa"/>
            <w:vAlign w:val="center"/>
          </w:tcPr>
          <w:p w14:paraId="496E474C">
            <w:pPr>
              <w:pStyle w:val="42"/>
              <w:rPr>
                <w:color w:val="000000" w:themeColor="text1"/>
                <w14:textFill>
                  <w14:solidFill>
                    <w14:schemeClr w14:val="tx1"/>
                  </w14:solidFill>
                </w14:textFill>
              </w:rPr>
            </w:pPr>
          </w:p>
        </w:tc>
      </w:tr>
      <w:tr w14:paraId="0E3C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C95027B">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09F70563">
            <w:pPr>
              <w:pStyle w:val="42"/>
              <w:rPr>
                <w:color w:val="000000" w:themeColor="text1"/>
                <w14:textFill>
                  <w14:solidFill>
                    <w14:schemeClr w14:val="tx1"/>
                  </w14:solidFill>
                </w14:textFill>
              </w:rPr>
            </w:pPr>
          </w:p>
        </w:tc>
        <w:tc>
          <w:tcPr>
            <w:tcW w:w="898" w:type="dxa"/>
            <w:vAlign w:val="center"/>
          </w:tcPr>
          <w:p w14:paraId="483A97F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吊环</w:t>
            </w:r>
          </w:p>
        </w:tc>
        <w:tc>
          <w:tcPr>
            <w:tcW w:w="5580" w:type="dxa"/>
            <w:vAlign w:val="center"/>
          </w:tcPr>
          <w:p w14:paraId="3B11CC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）吊环未设置在肋上或吊环有塑性变形，扣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71984C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）焊接式钢吊环采用性能低于</w:t>
            </w:r>
            <w:r>
              <w:rPr>
                <w:color w:val="000000" w:themeColor="text1"/>
                <w14:textFill>
                  <w14:solidFill>
                    <w14:schemeClr w14:val="tx1"/>
                  </w14:solidFill>
                </w14:textFill>
              </w:rPr>
              <w:t>Q235B</w:t>
            </w:r>
            <w:r>
              <w:rPr>
                <w:rFonts w:hint="eastAsia"/>
                <w:color w:val="000000" w:themeColor="text1"/>
                <w14:textFill>
                  <w14:solidFill>
                    <w14:schemeClr w14:val="tx1"/>
                  </w14:solidFill>
                </w14:textFill>
              </w:rPr>
              <w:t>的钢材制作，扣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6C305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）装配式吊环与大模板采用螺栓连接时未采用双螺母，扣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5E6FD6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8D24D18">
            <w:pPr>
              <w:pStyle w:val="42"/>
              <w:rPr>
                <w:color w:val="000000" w:themeColor="text1"/>
                <w14:textFill>
                  <w14:solidFill>
                    <w14:schemeClr w14:val="tx1"/>
                  </w14:solidFill>
                </w14:textFill>
              </w:rPr>
            </w:pPr>
          </w:p>
        </w:tc>
        <w:tc>
          <w:tcPr>
            <w:tcW w:w="720" w:type="dxa"/>
            <w:vAlign w:val="center"/>
          </w:tcPr>
          <w:p w14:paraId="428EC938">
            <w:pPr>
              <w:pStyle w:val="42"/>
              <w:rPr>
                <w:color w:val="000000" w:themeColor="text1"/>
                <w14:textFill>
                  <w14:solidFill>
                    <w14:schemeClr w14:val="tx1"/>
                  </w14:solidFill>
                </w14:textFill>
              </w:rPr>
            </w:pPr>
          </w:p>
        </w:tc>
      </w:tr>
      <w:tr w14:paraId="6761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EC9A4CA">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1FEB1360">
            <w:pPr>
              <w:pStyle w:val="42"/>
              <w:rPr>
                <w:color w:val="000000" w:themeColor="text1"/>
                <w14:textFill>
                  <w14:solidFill>
                    <w14:schemeClr w14:val="tx1"/>
                  </w14:solidFill>
                </w14:textFill>
              </w:rPr>
            </w:pPr>
          </w:p>
        </w:tc>
        <w:tc>
          <w:tcPr>
            <w:tcW w:w="898" w:type="dxa"/>
            <w:vAlign w:val="center"/>
          </w:tcPr>
          <w:p w14:paraId="50935A5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安装与拆除</w:t>
            </w:r>
          </w:p>
        </w:tc>
        <w:tc>
          <w:tcPr>
            <w:tcW w:w="5580" w:type="dxa"/>
            <w:vAlign w:val="center"/>
          </w:tcPr>
          <w:p w14:paraId="1B4A67E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）模板支架系统安装时，已浇筑混凝土的强度小于大模板设计的强度值，或低于</w:t>
            </w:r>
            <w:r>
              <w:rPr>
                <w:color w:val="000000" w:themeColor="text1"/>
                <w14:textFill>
                  <w14:solidFill>
                    <w14:schemeClr w14:val="tx1"/>
                  </w14:solidFill>
                </w14:textFill>
              </w:rPr>
              <w:t>7.5MPa</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4A864E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）大模板吊装时未清除操作平台上档的堆料和未固定的零散件，或未撤离作业人员，扣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02148A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）大模板拆除后竖向放置时，模板与垂线的夹角小于风荷载作用下的自稳角或未采取确保模板放置稳定的措施，扣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44C589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18FC82B">
            <w:pPr>
              <w:pStyle w:val="42"/>
              <w:rPr>
                <w:color w:val="000000" w:themeColor="text1"/>
                <w14:textFill>
                  <w14:solidFill>
                    <w14:schemeClr w14:val="tx1"/>
                  </w14:solidFill>
                </w14:textFill>
              </w:rPr>
            </w:pPr>
          </w:p>
        </w:tc>
        <w:tc>
          <w:tcPr>
            <w:tcW w:w="720" w:type="dxa"/>
            <w:vAlign w:val="center"/>
          </w:tcPr>
          <w:p w14:paraId="3DE7CE92">
            <w:pPr>
              <w:pStyle w:val="42"/>
              <w:rPr>
                <w:color w:val="000000" w:themeColor="text1"/>
                <w14:textFill>
                  <w14:solidFill>
                    <w14:schemeClr w14:val="tx1"/>
                  </w14:solidFill>
                </w14:textFill>
              </w:rPr>
            </w:pPr>
          </w:p>
        </w:tc>
      </w:tr>
      <w:tr w14:paraId="1C7B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0736DC0">
            <w:pPr>
              <w:pStyle w:val="42"/>
              <w:rPr>
                <w:color w:val="000000" w:themeColor="text1"/>
                <w14:textFill>
                  <w14:solidFill>
                    <w14:schemeClr w14:val="tx1"/>
                  </w14:solidFill>
                </w14:textFill>
              </w:rPr>
            </w:pPr>
          </w:p>
        </w:tc>
        <w:tc>
          <w:tcPr>
            <w:tcW w:w="543" w:type="dxa"/>
            <w:vMerge w:val="continue"/>
          </w:tcPr>
          <w:p w14:paraId="1ACBF6B6">
            <w:pPr>
              <w:pStyle w:val="42"/>
              <w:rPr>
                <w:color w:val="000000" w:themeColor="text1"/>
                <w14:textFill>
                  <w14:solidFill>
                    <w14:schemeClr w14:val="tx1"/>
                  </w14:solidFill>
                </w14:textFill>
              </w:rPr>
            </w:pPr>
          </w:p>
        </w:tc>
        <w:tc>
          <w:tcPr>
            <w:tcW w:w="6478" w:type="dxa"/>
            <w:gridSpan w:val="2"/>
            <w:vAlign w:val="center"/>
          </w:tcPr>
          <w:p w14:paraId="2D41C7A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5228FE15">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251FC50C">
            <w:pPr>
              <w:pStyle w:val="42"/>
              <w:rPr>
                <w:color w:val="000000" w:themeColor="text1"/>
                <w14:textFill>
                  <w14:solidFill>
                    <w14:schemeClr w14:val="tx1"/>
                  </w14:solidFill>
                </w14:textFill>
              </w:rPr>
            </w:pPr>
          </w:p>
        </w:tc>
        <w:tc>
          <w:tcPr>
            <w:tcW w:w="720" w:type="dxa"/>
            <w:vAlign w:val="center"/>
          </w:tcPr>
          <w:p w14:paraId="5222A9E0">
            <w:pPr>
              <w:pStyle w:val="42"/>
              <w:rPr>
                <w:color w:val="000000" w:themeColor="text1"/>
                <w14:textFill>
                  <w14:solidFill>
                    <w14:schemeClr w14:val="tx1"/>
                  </w14:solidFill>
                </w14:textFill>
              </w:rPr>
            </w:pPr>
          </w:p>
        </w:tc>
      </w:tr>
      <w:tr w14:paraId="35916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67E6915B">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108641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3311281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3A1CE1E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8A5BEA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42A0715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材质与验收</w:t>
            </w:r>
          </w:p>
        </w:tc>
        <w:tc>
          <w:tcPr>
            <w:tcW w:w="5580" w:type="dxa"/>
            <w:vAlign w:val="center"/>
          </w:tcPr>
          <w:p w14:paraId="05FB9A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）进场的大模板构配件无质量合格证、产品性能检验报告，扣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608F14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）大模板构配件的品种、规格、型号、材质不符合有关标准的要求，扣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E6ED3A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）钢结构杆件有显著的弯曲、锈蚀和焊接缺陷，扣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D3E15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）大模板每次安装完毕未按规定进行验收，扣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7C1541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）验收未形成记录，或未经责任人签字确认，扣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F5B82A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）验收内容和指标未按标准要求进行量化，扣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FC31A8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9BA2675">
            <w:pPr>
              <w:pStyle w:val="42"/>
              <w:rPr>
                <w:color w:val="000000" w:themeColor="text1"/>
                <w14:textFill>
                  <w14:solidFill>
                    <w14:schemeClr w14:val="tx1"/>
                  </w14:solidFill>
                </w14:textFill>
              </w:rPr>
            </w:pPr>
          </w:p>
        </w:tc>
        <w:tc>
          <w:tcPr>
            <w:tcW w:w="720" w:type="dxa"/>
            <w:vAlign w:val="center"/>
          </w:tcPr>
          <w:p w14:paraId="47F1F23C">
            <w:pPr>
              <w:pStyle w:val="42"/>
              <w:rPr>
                <w:color w:val="000000" w:themeColor="text1"/>
                <w14:textFill>
                  <w14:solidFill>
                    <w14:schemeClr w14:val="tx1"/>
                  </w14:solidFill>
                </w14:textFill>
              </w:rPr>
            </w:pPr>
          </w:p>
        </w:tc>
      </w:tr>
      <w:tr w14:paraId="60E5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A24DCF0">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DB46147">
            <w:pPr>
              <w:pStyle w:val="42"/>
              <w:rPr>
                <w:color w:val="000000" w:themeColor="text1"/>
                <w14:textFill>
                  <w14:solidFill>
                    <w14:schemeClr w14:val="tx1"/>
                  </w14:solidFill>
                </w14:textFill>
              </w:rPr>
            </w:pPr>
          </w:p>
        </w:tc>
        <w:tc>
          <w:tcPr>
            <w:tcW w:w="898" w:type="dxa"/>
            <w:vAlign w:val="center"/>
          </w:tcPr>
          <w:p w14:paraId="35534CD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4A95F95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）模板顶部及离地高度大于</w:t>
            </w:r>
            <w:r>
              <w:rPr>
                <w:color w:val="000000" w:themeColor="text1"/>
                <w14:textFill>
                  <w14:solidFill>
                    <w14:schemeClr w14:val="tx1"/>
                  </w14:solidFill>
                </w14:textFill>
              </w:rPr>
              <w:t>2m</w:t>
            </w:r>
            <w:r>
              <w:rPr>
                <w:rFonts w:hint="eastAsia"/>
                <w:color w:val="000000" w:themeColor="text1"/>
                <w14:textFill>
                  <w14:solidFill>
                    <w14:schemeClr w14:val="tx1"/>
                  </w14:solidFill>
                </w14:textFill>
              </w:rPr>
              <w:t>的对拉螺栓操作部位未设置操作平台，扣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02C50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）操作平台面未牢固满铺脚手板，扣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32D644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）操作平台外围未按临边作业要求设置防护栏杆，扣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FCDAA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）操作层未在外侧设置高度不低于</w:t>
            </w:r>
            <w:r>
              <w:rPr>
                <w:color w:val="000000" w:themeColor="text1"/>
                <w14:textFill>
                  <w14:solidFill>
                    <w14:schemeClr w14:val="tx1"/>
                  </w14:solidFill>
                </w14:textFill>
              </w:rPr>
              <w:t>180mm</w:t>
            </w:r>
            <w:r>
              <w:rPr>
                <w:rFonts w:hint="eastAsia"/>
                <w:color w:val="000000" w:themeColor="text1"/>
                <w14:textFill>
                  <w14:solidFill>
                    <w14:schemeClr w14:val="tx1"/>
                  </w14:solidFill>
                </w14:textFill>
              </w:rPr>
              <w:t>的挡脚板，扣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2A2B1CF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B3917F0">
            <w:pPr>
              <w:pStyle w:val="42"/>
              <w:rPr>
                <w:color w:val="000000" w:themeColor="text1"/>
                <w14:textFill>
                  <w14:solidFill>
                    <w14:schemeClr w14:val="tx1"/>
                  </w14:solidFill>
                </w14:textFill>
              </w:rPr>
            </w:pPr>
          </w:p>
        </w:tc>
        <w:tc>
          <w:tcPr>
            <w:tcW w:w="720" w:type="dxa"/>
            <w:vAlign w:val="center"/>
          </w:tcPr>
          <w:p w14:paraId="398B34E7">
            <w:pPr>
              <w:pStyle w:val="42"/>
              <w:rPr>
                <w:color w:val="000000" w:themeColor="text1"/>
                <w14:textFill>
                  <w14:solidFill>
                    <w14:schemeClr w14:val="tx1"/>
                  </w14:solidFill>
                </w14:textFill>
              </w:rPr>
            </w:pPr>
          </w:p>
        </w:tc>
      </w:tr>
      <w:tr w14:paraId="5120E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36CD542">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DFF7CAF">
            <w:pPr>
              <w:pStyle w:val="42"/>
              <w:rPr>
                <w:color w:val="000000" w:themeColor="text1"/>
                <w14:textFill>
                  <w14:solidFill>
                    <w14:schemeClr w14:val="tx1"/>
                  </w14:solidFill>
                </w14:textFill>
              </w:rPr>
            </w:pPr>
          </w:p>
        </w:tc>
        <w:tc>
          <w:tcPr>
            <w:tcW w:w="898" w:type="dxa"/>
            <w:vAlign w:val="center"/>
          </w:tcPr>
          <w:p w14:paraId="75E346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爬梯</w:t>
            </w:r>
          </w:p>
        </w:tc>
        <w:tc>
          <w:tcPr>
            <w:tcW w:w="5580" w:type="dxa"/>
            <w:vAlign w:val="center"/>
          </w:tcPr>
          <w:p w14:paraId="763114F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）模板上未设置上下平台的爬梯，扣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C7E45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）爬梯安装不牢固或通行不畅通，扣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64EC332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73056E8">
            <w:pPr>
              <w:pStyle w:val="42"/>
              <w:rPr>
                <w:color w:val="000000" w:themeColor="text1"/>
                <w14:textFill>
                  <w14:solidFill>
                    <w14:schemeClr w14:val="tx1"/>
                  </w14:solidFill>
                </w14:textFill>
              </w:rPr>
            </w:pPr>
          </w:p>
        </w:tc>
        <w:tc>
          <w:tcPr>
            <w:tcW w:w="720" w:type="dxa"/>
            <w:vAlign w:val="center"/>
          </w:tcPr>
          <w:p w14:paraId="734CF297">
            <w:pPr>
              <w:pStyle w:val="42"/>
              <w:rPr>
                <w:color w:val="000000" w:themeColor="text1"/>
                <w14:textFill>
                  <w14:solidFill>
                    <w14:schemeClr w14:val="tx1"/>
                  </w14:solidFill>
                </w14:textFill>
              </w:rPr>
            </w:pPr>
          </w:p>
        </w:tc>
      </w:tr>
      <w:tr w14:paraId="4A2A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2136E91">
            <w:pPr>
              <w:pStyle w:val="42"/>
              <w:rPr>
                <w:color w:val="000000" w:themeColor="text1"/>
                <w14:textFill>
                  <w14:solidFill>
                    <w14:schemeClr w14:val="tx1"/>
                  </w14:solidFill>
                </w14:textFill>
              </w:rPr>
            </w:pPr>
          </w:p>
        </w:tc>
        <w:tc>
          <w:tcPr>
            <w:tcW w:w="543" w:type="dxa"/>
            <w:vMerge w:val="continue"/>
          </w:tcPr>
          <w:p w14:paraId="3EAF39F6">
            <w:pPr>
              <w:pStyle w:val="42"/>
              <w:rPr>
                <w:color w:val="000000" w:themeColor="text1"/>
                <w14:textFill>
                  <w14:solidFill>
                    <w14:schemeClr w14:val="tx1"/>
                  </w14:solidFill>
                </w14:textFill>
              </w:rPr>
            </w:pPr>
          </w:p>
        </w:tc>
        <w:tc>
          <w:tcPr>
            <w:tcW w:w="6478" w:type="dxa"/>
            <w:gridSpan w:val="2"/>
            <w:vAlign w:val="center"/>
          </w:tcPr>
          <w:p w14:paraId="4AD6E1B1">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349E349">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36D05EE3">
            <w:pPr>
              <w:pStyle w:val="42"/>
              <w:rPr>
                <w:color w:val="000000" w:themeColor="text1"/>
                <w14:textFill>
                  <w14:solidFill>
                    <w14:schemeClr w14:val="tx1"/>
                  </w14:solidFill>
                </w14:textFill>
              </w:rPr>
            </w:pPr>
          </w:p>
        </w:tc>
        <w:tc>
          <w:tcPr>
            <w:tcW w:w="720" w:type="dxa"/>
            <w:vAlign w:val="center"/>
          </w:tcPr>
          <w:p w14:paraId="7960E81D">
            <w:pPr>
              <w:pStyle w:val="42"/>
              <w:rPr>
                <w:color w:val="000000" w:themeColor="text1"/>
                <w14:textFill>
                  <w14:solidFill>
                    <w14:schemeClr w14:val="tx1"/>
                  </w14:solidFill>
                </w14:textFill>
              </w:rPr>
            </w:pPr>
          </w:p>
        </w:tc>
      </w:tr>
      <w:tr w14:paraId="4DD2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7F91D0D4">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736786D7">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2BCDFC45">
            <w:pPr>
              <w:pStyle w:val="42"/>
              <w:rPr>
                <w:color w:val="000000" w:themeColor="text1"/>
                <w14:textFill>
                  <w14:solidFill>
                    <w14:schemeClr w14:val="tx1"/>
                  </w14:solidFill>
                </w14:textFill>
              </w:rPr>
            </w:pPr>
          </w:p>
        </w:tc>
        <w:tc>
          <w:tcPr>
            <w:tcW w:w="720" w:type="dxa"/>
            <w:vAlign w:val="center"/>
          </w:tcPr>
          <w:p w14:paraId="07F43543">
            <w:pPr>
              <w:pStyle w:val="42"/>
              <w:rPr>
                <w:color w:val="000000" w:themeColor="text1"/>
                <w14:textFill>
                  <w14:solidFill>
                    <w14:schemeClr w14:val="tx1"/>
                  </w14:solidFill>
                </w14:textFill>
              </w:rPr>
            </w:pPr>
          </w:p>
        </w:tc>
      </w:tr>
    </w:tbl>
    <w:p w14:paraId="259CF7CF">
      <w:pPr>
        <w:rPr>
          <w:color w:val="000000" w:themeColor="text1"/>
          <w14:textFill>
            <w14:solidFill>
              <w14:schemeClr w14:val="tx1"/>
            </w14:solidFill>
          </w14:textFill>
        </w:rPr>
      </w:pPr>
    </w:p>
    <w:p w14:paraId="02BB9FF0">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3" w:name="_Toc6067"/>
      <w:bookmarkStart w:id="64" w:name="_Toc11833"/>
      <w:bookmarkStart w:id="65" w:name="_Toc12589"/>
      <w:r>
        <w:rPr>
          <w:rFonts w:hint="eastAsia"/>
          <w:color w:val="000000" w:themeColor="text1"/>
          <w14:textFill>
            <w14:solidFill>
              <w14:schemeClr w14:val="tx1"/>
            </w14:solidFill>
          </w14:textFill>
        </w:rPr>
        <w:t>表</w:t>
      </w:r>
      <w:r>
        <w:rPr>
          <w:color w:val="000000" w:themeColor="text1"/>
          <w14:textFill>
            <w14:solidFill>
              <w14:schemeClr w14:val="tx1"/>
            </w14:solidFill>
          </w14:textFill>
        </w:rPr>
        <w:t>21</w:t>
      </w:r>
      <w:r>
        <w:rPr>
          <w:rFonts w:hint="eastAsia"/>
          <w:color w:val="000000" w:themeColor="text1"/>
          <w14:textFill>
            <w14:solidFill>
              <w14:schemeClr w14:val="tx1"/>
            </w14:solidFill>
          </w14:textFill>
        </w:rPr>
        <w:t xml:space="preserve">  滑动模板检查</w:t>
      </w:r>
      <w:r>
        <w:rPr>
          <w:color w:val="000000" w:themeColor="text1"/>
          <w14:textFill>
            <w14:solidFill>
              <w14:schemeClr w14:val="tx1"/>
            </w14:solidFill>
          </w14:textFill>
        </w:rPr>
        <w:t>评分表</w:t>
      </w:r>
      <w:bookmarkEnd w:id="63"/>
      <w:bookmarkEnd w:id="64"/>
      <w:bookmarkEnd w:id="65"/>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06F90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1707C2D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5B7A7B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474B87F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748A8D7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6F4B224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5044D676">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3E6F029C">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6008C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04F00605">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742C86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5D445B0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7453CC6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445B552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034BC5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520B5A7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60A2C1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A4816C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AD9A3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4D9162A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C053CE5">
            <w:pPr>
              <w:pStyle w:val="42"/>
              <w:rPr>
                <w:color w:val="000000" w:themeColor="text1"/>
                <w14:textFill>
                  <w14:solidFill>
                    <w14:schemeClr w14:val="tx1"/>
                  </w14:solidFill>
                </w14:textFill>
              </w:rPr>
            </w:pPr>
          </w:p>
        </w:tc>
        <w:tc>
          <w:tcPr>
            <w:tcW w:w="720" w:type="dxa"/>
            <w:vAlign w:val="center"/>
          </w:tcPr>
          <w:p w14:paraId="0EE48BF8">
            <w:pPr>
              <w:pStyle w:val="42"/>
              <w:rPr>
                <w:color w:val="000000" w:themeColor="text1"/>
                <w14:textFill>
                  <w14:solidFill>
                    <w14:schemeClr w14:val="tx1"/>
                  </w14:solidFill>
                </w14:textFill>
              </w:rPr>
            </w:pPr>
          </w:p>
        </w:tc>
      </w:tr>
      <w:tr w14:paraId="29E5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3539B309">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82D29FB">
            <w:pPr>
              <w:pStyle w:val="42"/>
              <w:rPr>
                <w:color w:val="000000" w:themeColor="text1"/>
                <w14:textFill>
                  <w14:solidFill>
                    <w14:schemeClr w14:val="tx1"/>
                  </w14:solidFill>
                </w14:textFill>
              </w:rPr>
            </w:pPr>
          </w:p>
        </w:tc>
        <w:tc>
          <w:tcPr>
            <w:tcW w:w="898" w:type="dxa"/>
            <w:vAlign w:val="center"/>
          </w:tcPr>
          <w:p w14:paraId="0C3BDFC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构配件及制作</w:t>
            </w:r>
          </w:p>
        </w:tc>
        <w:tc>
          <w:tcPr>
            <w:tcW w:w="5580" w:type="dxa"/>
            <w:vAlign w:val="center"/>
          </w:tcPr>
          <w:p w14:paraId="4FBFBB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）构配件无质量合格证、产品性能检验报告，扣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C046E4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）构配件品种、规格、型号、材质不符合滑模设计和有关标准要求，扣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D99B3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）所采用的机具、器具无产品合格证，扣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E2299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）主体结构构件、连接件有显著的变形、超标的挠度或严重锈蚀剥皮，扣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4CAE7F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C054752">
            <w:pPr>
              <w:pStyle w:val="42"/>
              <w:rPr>
                <w:color w:val="000000" w:themeColor="text1"/>
                <w14:textFill>
                  <w14:solidFill>
                    <w14:schemeClr w14:val="tx1"/>
                  </w14:solidFill>
                </w14:textFill>
              </w:rPr>
            </w:pPr>
          </w:p>
        </w:tc>
        <w:tc>
          <w:tcPr>
            <w:tcW w:w="720" w:type="dxa"/>
            <w:vAlign w:val="center"/>
          </w:tcPr>
          <w:p w14:paraId="02F47B49">
            <w:pPr>
              <w:pStyle w:val="42"/>
              <w:rPr>
                <w:color w:val="000000" w:themeColor="text1"/>
                <w14:textFill>
                  <w14:solidFill>
                    <w14:schemeClr w14:val="tx1"/>
                  </w14:solidFill>
                </w14:textFill>
              </w:rPr>
            </w:pPr>
          </w:p>
        </w:tc>
      </w:tr>
      <w:tr w14:paraId="177B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05ACB47">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107C9CC0">
            <w:pPr>
              <w:pStyle w:val="42"/>
              <w:rPr>
                <w:color w:val="000000" w:themeColor="text1"/>
                <w14:textFill>
                  <w14:solidFill>
                    <w14:schemeClr w14:val="tx1"/>
                  </w14:solidFill>
                </w14:textFill>
              </w:rPr>
            </w:pPr>
          </w:p>
        </w:tc>
        <w:tc>
          <w:tcPr>
            <w:tcW w:w="898" w:type="dxa"/>
            <w:vAlign w:val="center"/>
          </w:tcPr>
          <w:p w14:paraId="174F088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模板系统</w:t>
            </w:r>
          </w:p>
        </w:tc>
        <w:tc>
          <w:tcPr>
            <w:tcW w:w="5580" w:type="dxa"/>
            <w:vAlign w:val="center"/>
          </w:tcPr>
          <w:p w14:paraId="25228C1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）模板及紧固件的强度和刚度不足，或模板与围圈的连接不牢固，扣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420816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）围圈刚度不足，或围圈与提升架立柱连接不牢固，扣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0BD2C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）固定式围圈接头未采用等刚度型钢连接，或连接螺栓每边少于</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个，扣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2A520A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）在使用荷载作用下两个提升架之间围圈的垂直与水平方向的变形大于跨度的</w:t>
            </w:r>
            <w:r>
              <w:rPr>
                <w:color w:val="000000" w:themeColor="text1"/>
                <w14:textFill>
                  <w14:solidFill>
                    <w14:schemeClr w14:val="tx1"/>
                  </w14:solidFill>
                </w14:textFill>
              </w:rPr>
              <w:t>1/500</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CB35C3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）当操作平台的桁架或梁支承于围圈上时，未在支承处设置支托或支架，扣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BC1E6E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）提升架刚度不足，或横梁与立柱未采取刚性连接，扣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2D8775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EF45580">
            <w:pPr>
              <w:pStyle w:val="42"/>
              <w:rPr>
                <w:color w:val="000000" w:themeColor="text1"/>
                <w14:textFill>
                  <w14:solidFill>
                    <w14:schemeClr w14:val="tx1"/>
                  </w14:solidFill>
                </w14:textFill>
              </w:rPr>
            </w:pPr>
          </w:p>
        </w:tc>
        <w:tc>
          <w:tcPr>
            <w:tcW w:w="720" w:type="dxa"/>
            <w:vAlign w:val="center"/>
          </w:tcPr>
          <w:p w14:paraId="73626A48">
            <w:pPr>
              <w:pStyle w:val="42"/>
              <w:rPr>
                <w:color w:val="000000" w:themeColor="text1"/>
                <w14:textFill>
                  <w14:solidFill>
                    <w14:schemeClr w14:val="tx1"/>
                  </w14:solidFill>
                </w14:textFill>
              </w:rPr>
            </w:pPr>
          </w:p>
        </w:tc>
      </w:tr>
      <w:tr w14:paraId="16C36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D788A3A">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5B15FE0B">
            <w:pPr>
              <w:pStyle w:val="42"/>
              <w:rPr>
                <w:color w:val="000000" w:themeColor="text1"/>
                <w14:textFill>
                  <w14:solidFill>
                    <w14:schemeClr w14:val="tx1"/>
                  </w14:solidFill>
                </w14:textFill>
              </w:rPr>
            </w:pPr>
          </w:p>
        </w:tc>
        <w:tc>
          <w:tcPr>
            <w:tcW w:w="898" w:type="dxa"/>
            <w:vAlign w:val="center"/>
          </w:tcPr>
          <w:p w14:paraId="2F007AF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操作平台系统</w:t>
            </w:r>
          </w:p>
        </w:tc>
        <w:tc>
          <w:tcPr>
            <w:tcW w:w="5580" w:type="dxa"/>
            <w:vAlign w:val="center"/>
          </w:tcPr>
          <w:p w14:paraId="7338FCD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）操作平台未与提升架或围圈连成整体，或连接不牢固，扣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C8DCF7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）操作平台的桁片间应按滑模设计要求设置水平和垂直支撑，扣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C5FA9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）吊脚手架钢吊杆的直径小于</w:t>
            </w:r>
            <w:r>
              <w:rPr>
                <w:color w:val="000000" w:themeColor="text1"/>
                <w14:textFill>
                  <w14:solidFill>
                    <w14:schemeClr w14:val="tx1"/>
                  </w14:solidFill>
                </w14:textFill>
              </w:rPr>
              <w:t>16mm</w:t>
            </w:r>
            <w:r>
              <w:rPr>
                <w:rFonts w:hint="eastAsia"/>
                <w:color w:val="000000" w:themeColor="text1"/>
                <w14:textFill>
                  <w14:solidFill>
                    <w14:schemeClr w14:val="tx1"/>
                  </w14:solidFill>
                </w14:textFill>
              </w:rPr>
              <w:t>，或吊杆螺帽未采用双螺帽，扣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79468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）操作平台上的随升井架等垂直运输设备与操作平台连接不牢固，扣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C65211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DA7E04E">
            <w:pPr>
              <w:pStyle w:val="42"/>
              <w:rPr>
                <w:color w:val="000000" w:themeColor="text1"/>
                <w14:textFill>
                  <w14:solidFill>
                    <w14:schemeClr w14:val="tx1"/>
                  </w14:solidFill>
                </w14:textFill>
              </w:rPr>
            </w:pPr>
          </w:p>
        </w:tc>
        <w:tc>
          <w:tcPr>
            <w:tcW w:w="720" w:type="dxa"/>
            <w:vAlign w:val="center"/>
          </w:tcPr>
          <w:p w14:paraId="742C5ABF">
            <w:pPr>
              <w:pStyle w:val="42"/>
              <w:rPr>
                <w:color w:val="000000" w:themeColor="text1"/>
                <w14:textFill>
                  <w14:solidFill>
                    <w14:schemeClr w14:val="tx1"/>
                  </w14:solidFill>
                </w14:textFill>
              </w:rPr>
            </w:pPr>
          </w:p>
        </w:tc>
      </w:tr>
      <w:tr w14:paraId="6AF9F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4573B86B">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26B04AA3">
            <w:pPr>
              <w:pStyle w:val="42"/>
              <w:rPr>
                <w:color w:val="000000" w:themeColor="text1"/>
                <w14:textFill>
                  <w14:solidFill>
                    <w14:schemeClr w14:val="tx1"/>
                  </w14:solidFill>
                </w14:textFill>
              </w:rPr>
            </w:pPr>
          </w:p>
        </w:tc>
        <w:tc>
          <w:tcPr>
            <w:tcW w:w="898" w:type="dxa"/>
            <w:textDirection w:val="tbRlV"/>
            <w:vAlign w:val="center"/>
          </w:tcPr>
          <w:p w14:paraId="6F29D00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提升系统</w:t>
            </w:r>
          </w:p>
        </w:tc>
        <w:tc>
          <w:tcPr>
            <w:tcW w:w="5580" w:type="dxa"/>
            <w:vAlign w:val="center"/>
          </w:tcPr>
          <w:p w14:paraId="6BB41E6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）支承杆和千斤顶的数量、分区布置不符合滑模设计要求，扣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970CC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）支承杆的直径、规格与所使用千斤顶的要求不适应，扣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4E109F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）每次接长的支承杆数量超过总数的</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，或支承杆两相邻接头高差小于</w:t>
            </w:r>
            <w:r>
              <w:rPr>
                <w:color w:val="000000" w:themeColor="text1"/>
                <w14:textFill>
                  <w14:solidFill>
                    <w14:schemeClr w14:val="tx1"/>
                  </w14:solidFill>
                </w14:textFill>
              </w:rPr>
              <w:t>1m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p>
          <w:p w14:paraId="39E1A7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）当钢管支承杆设置在结构体外时未采取加固措施，扣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E8AFF3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）工具式支承杆的螺纹接头未拧紧到位，扣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A80B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）支承杆轴线与千斤顶轴线不一致，或偏斜度偏差超过</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DA7EE5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）当千斤顶通过支承杆接头后未及时按标准要求采取加固措施，扣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68EFE1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）工具式支承杆分批拔出时的数量超过总数的</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6EBA2E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3D8629E">
            <w:pPr>
              <w:pStyle w:val="42"/>
              <w:rPr>
                <w:color w:val="000000" w:themeColor="text1"/>
                <w14:textFill>
                  <w14:solidFill>
                    <w14:schemeClr w14:val="tx1"/>
                  </w14:solidFill>
                </w14:textFill>
              </w:rPr>
            </w:pPr>
          </w:p>
        </w:tc>
        <w:tc>
          <w:tcPr>
            <w:tcW w:w="720" w:type="dxa"/>
            <w:vAlign w:val="center"/>
          </w:tcPr>
          <w:p w14:paraId="2A448768">
            <w:pPr>
              <w:pStyle w:val="42"/>
              <w:rPr>
                <w:color w:val="000000" w:themeColor="text1"/>
                <w14:textFill>
                  <w14:solidFill>
                    <w14:schemeClr w14:val="tx1"/>
                  </w14:solidFill>
                </w14:textFill>
              </w:rPr>
            </w:pPr>
          </w:p>
        </w:tc>
      </w:tr>
      <w:tr w14:paraId="711E4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1DCF3177">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53402549">
            <w:pPr>
              <w:pStyle w:val="42"/>
              <w:rPr>
                <w:color w:val="000000" w:themeColor="text1"/>
                <w14:textFill>
                  <w14:solidFill>
                    <w14:schemeClr w14:val="tx1"/>
                  </w14:solidFill>
                </w14:textFill>
              </w:rPr>
            </w:pPr>
          </w:p>
        </w:tc>
        <w:tc>
          <w:tcPr>
            <w:tcW w:w="898" w:type="dxa"/>
            <w:textDirection w:val="tbRlV"/>
            <w:vAlign w:val="center"/>
          </w:tcPr>
          <w:p w14:paraId="37A3D7D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6F571B0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）千斤顶未按标准要求逐个编号并经过检验，扣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70B647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）在插入支承杆前未对液压系统进行试验和检查，扣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777224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）模装置组装完成后未办理完工验收手续，扣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D4A385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）完工验收未形成记录，或未经责任人签字确认，扣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3ABAA6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）正常滑升前未按专项施工方案和标准要求进行进行预滑升试验，扣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C3EEDF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C5EB87D">
            <w:pPr>
              <w:pStyle w:val="42"/>
              <w:rPr>
                <w:color w:val="000000" w:themeColor="text1"/>
                <w14:textFill>
                  <w14:solidFill>
                    <w14:schemeClr w14:val="tx1"/>
                  </w14:solidFill>
                </w14:textFill>
              </w:rPr>
            </w:pPr>
          </w:p>
        </w:tc>
        <w:tc>
          <w:tcPr>
            <w:tcW w:w="720" w:type="dxa"/>
            <w:vAlign w:val="center"/>
          </w:tcPr>
          <w:p w14:paraId="04A65C1E">
            <w:pPr>
              <w:pStyle w:val="42"/>
              <w:rPr>
                <w:color w:val="000000" w:themeColor="text1"/>
                <w14:textFill>
                  <w14:solidFill>
                    <w14:schemeClr w14:val="tx1"/>
                  </w14:solidFill>
                </w14:textFill>
              </w:rPr>
            </w:pPr>
          </w:p>
        </w:tc>
      </w:tr>
      <w:tr w14:paraId="00A7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134" w:hRule="atLeast"/>
        </w:trPr>
        <w:tc>
          <w:tcPr>
            <w:tcW w:w="539" w:type="dxa"/>
            <w:vAlign w:val="center"/>
          </w:tcPr>
          <w:p w14:paraId="7D102F5B">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restart"/>
          </w:tcPr>
          <w:p w14:paraId="59DD7FED">
            <w:pPr>
              <w:pStyle w:val="42"/>
              <w:rPr>
                <w:color w:val="000000" w:themeColor="text1"/>
                <w14:textFill>
                  <w14:solidFill>
                    <w14:schemeClr w14:val="tx1"/>
                  </w14:solidFill>
                </w14:textFill>
              </w:rPr>
            </w:pPr>
          </w:p>
        </w:tc>
        <w:tc>
          <w:tcPr>
            <w:tcW w:w="898" w:type="dxa"/>
            <w:textDirection w:val="tbRlV"/>
            <w:vAlign w:val="center"/>
          </w:tcPr>
          <w:p w14:paraId="0EE4C37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滑</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升</w:t>
            </w:r>
          </w:p>
        </w:tc>
        <w:tc>
          <w:tcPr>
            <w:tcW w:w="5580" w:type="dxa"/>
            <w:vAlign w:val="center"/>
          </w:tcPr>
          <w:p w14:paraId="3CDD7EC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）操作平台上施工荷载不均匀，或超过设计允许范围，</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7DCB1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）混凝土输送管等设施与滑模装置相连接，扣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DEC40B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）混凝土出模强度未控制在标准允许范围内，扣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AD782A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）模板滑升速度不符合滑模设计和标准要求，扣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19BCF3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）模板空滑时未对支承杆采取防失稳的加固措施，扣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A748B2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）滑升过程中操作平台未处于水平状态，扣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5DEF8AF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D71E884">
            <w:pPr>
              <w:pStyle w:val="42"/>
              <w:rPr>
                <w:color w:val="000000" w:themeColor="text1"/>
                <w14:textFill>
                  <w14:solidFill>
                    <w14:schemeClr w14:val="tx1"/>
                  </w14:solidFill>
                </w14:textFill>
              </w:rPr>
            </w:pPr>
          </w:p>
        </w:tc>
        <w:tc>
          <w:tcPr>
            <w:tcW w:w="720" w:type="dxa"/>
            <w:vAlign w:val="center"/>
          </w:tcPr>
          <w:p w14:paraId="385C4837">
            <w:pPr>
              <w:pStyle w:val="42"/>
              <w:rPr>
                <w:color w:val="000000" w:themeColor="text1"/>
                <w14:textFill>
                  <w14:solidFill>
                    <w14:schemeClr w14:val="tx1"/>
                  </w14:solidFill>
                </w14:textFill>
              </w:rPr>
            </w:pPr>
          </w:p>
        </w:tc>
      </w:tr>
      <w:tr w14:paraId="2B08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0688043">
            <w:pPr>
              <w:pStyle w:val="42"/>
              <w:rPr>
                <w:color w:val="000000" w:themeColor="text1"/>
                <w14:textFill>
                  <w14:solidFill>
                    <w14:schemeClr w14:val="tx1"/>
                  </w14:solidFill>
                </w14:textFill>
              </w:rPr>
            </w:pPr>
          </w:p>
        </w:tc>
        <w:tc>
          <w:tcPr>
            <w:tcW w:w="543" w:type="dxa"/>
            <w:vMerge w:val="continue"/>
          </w:tcPr>
          <w:p w14:paraId="3ACD9E8F">
            <w:pPr>
              <w:pStyle w:val="42"/>
              <w:rPr>
                <w:color w:val="000000" w:themeColor="text1"/>
                <w14:textFill>
                  <w14:solidFill>
                    <w14:schemeClr w14:val="tx1"/>
                  </w14:solidFill>
                </w14:textFill>
              </w:rPr>
            </w:pPr>
          </w:p>
        </w:tc>
        <w:tc>
          <w:tcPr>
            <w:tcW w:w="6478" w:type="dxa"/>
            <w:gridSpan w:val="2"/>
            <w:vAlign w:val="center"/>
          </w:tcPr>
          <w:p w14:paraId="0DB7138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99789AE">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0F97CB23">
            <w:pPr>
              <w:pStyle w:val="42"/>
              <w:rPr>
                <w:color w:val="000000" w:themeColor="text1"/>
                <w14:textFill>
                  <w14:solidFill>
                    <w14:schemeClr w14:val="tx1"/>
                  </w14:solidFill>
                </w14:textFill>
              </w:rPr>
            </w:pPr>
          </w:p>
        </w:tc>
        <w:tc>
          <w:tcPr>
            <w:tcW w:w="720" w:type="dxa"/>
            <w:vAlign w:val="center"/>
          </w:tcPr>
          <w:p w14:paraId="5B489B77">
            <w:pPr>
              <w:pStyle w:val="42"/>
              <w:rPr>
                <w:color w:val="000000" w:themeColor="text1"/>
                <w14:textFill>
                  <w14:solidFill>
                    <w14:schemeClr w14:val="tx1"/>
                  </w14:solidFill>
                </w14:textFill>
              </w:rPr>
            </w:pPr>
          </w:p>
        </w:tc>
      </w:tr>
      <w:tr w14:paraId="295E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2E7F74AE">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F30576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27E2EAC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7816A0B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04DF7D5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5CDE618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混凝土浇筑</w:t>
            </w:r>
          </w:p>
        </w:tc>
        <w:tc>
          <w:tcPr>
            <w:tcW w:w="5580" w:type="dxa"/>
            <w:vAlign w:val="center"/>
          </w:tcPr>
          <w:p w14:paraId="78814A1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）凝土浇筑未执行均匀对称交圈制度，扣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3F5D82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）每次浇灌的厚度大于</w:t>
            </w:r>
            <w:r>
              <w:rPr>
                <w:color w:val="000000" w:themeColor="text1"/>
                <w14:textFill>
                  <w14:solidFill>
                    <w14:schemeClr w14:val="tx1"/>
                  </w14:solidFill>
                </w14:textFill>
              </w:rPr>
              <w:t>200mm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4799D3A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）振捣混凝土时，振捣器直接触及支承杆，扣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4182FDB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7A938C1">
            <w:pPr>
              <w:pStyle w:val="42"/>
              <w:rPr>
                <w:color w:val="000000" w:themeColor="text1"/>
                <w14:textFill>
                  <w14:solidFill>
                    <w14:schemeClr w14:val="tx1"/>
                  </w14:solidFill>
                </w14:textFill>
              </w:rPr>
            </w:pPr>
          </w:p>
        </w:tc>
        <w:tc>
          <w:tcPr>
            <w:tcW w:w="720" w:type="dxa"/>
            <w:vAlign w:val="center"/>
          </w:tcPr>
          <w:p w14:paraId="4B904318">
            <w:pPr>
              <w:pStyle w:val="42"/>
              <w:rPr>
                <w:color w:val="000000" w:themeColor="text1"/>
                <w14:textFill>
                  <w14:solidFill>
                    <w14:schemeClr w14:val="tx1"/>
                  </w14:solidFill>
                </w14:textFill>
              </w:rPr>
            </w:pPr>
          </w:p>
        </w:tc>
      </w:tr>
      <w:tr w14:paraId="1963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B00EC76">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5970FB22">
            <w:pPr>
              <w:pStyle w:val="42"/>
              <w:rPr>
                <w:color w:val="000000" w:themeColor="text1"/>
                <w14:textFill>
                  <w14:solidFill>
                    <w14:schemeClr w14:val="tx1"/>
                  </w14:solidFill>
                </w14:textFill>
              </w:rPr>
            </w:pPr>
          </w:p>
        </w:tc>
        <w:tc>
          <w:tcPr>
            <w:tcW w:w="898" w:type="dxa"/>
            <w:vAlign w:val="center"/>
          </w:tcPr>
          <w:p w14:paraId="0562686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34B6AD5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）操作平台和吊脚手架的外侧未按临边作业要求设置安全防护栏杆、挡脚板、安全立网，扣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F1000D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）操作平台和吊脚手架的走道未牢固满铺脚手板，扣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721CD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）操作平台和吊脚手架的底部未兜设安全平网，扣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9BA241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）上下操作平台及掉脚手架间未设置专用通行梯道，扣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分；梯道不牢固，或通行不畅通，扣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2C2044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）操作平台上应按消防要求设置消防设施，扣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7A966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）周围未按标准要求设立危险警戒区，扣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64DB35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）警戒区内的出入口未按标准要求设置安全防护棚，扣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1D991F1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489D2C3">
            <w:pPr>
              <w:pStyle w:val="42"/>
              <w:rPr>
                <w:color w:val="000000" w:themeColor="text1"/>
                <w14:textFill>
                  <w14:solidFill>
                    <w14:schemeClr w14:val="tx1"/>
                  </w14:solidFill>
                </w14:textFill>
              </w:rPr>
            </w:pPr>
          </w:p>
        </w:tc>
        <w:tc>
          <w:tcPr>
            <w:tcW w:w="720" w:type="dxa"/>
            <w:vAlign w:val="center"/>
          </w:tcPr>
          <w:p w14:paraId="5309700E">
            <w:pPr>
              <w:pStyle w:val="42"/>
              <w:rPr>
                <w:color w:val="000000" w:themeColor="text1"/>
                <w14:textFill>
                  <w14:solidFill>
                    <w14:schemeClr w14:val="tx1"/>
                  </w14:solidFill>
                </w14:textFill>
              </w:rPr>
            </w:pPr>
          </w:p>
        </w:tc>
      </w:tr>
      <w:tr w14:paraId="157E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326EFB7">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281A6246">
            <w:pPr>
              <w:pStyle w:val="42"/>
              <w:rPr>
                <w:color w:val="000000" w:themeColor="text1"/>
                <w14:textFill>
                  <w14:solidFill>
                    <w14:schemeClr w14:val="tx1"/>
                  </w14:solidFill>
                </w14:textFill>
              </w:rPr>
            </w:pPr>
          </w:p>
        </w:tc>
        <w:tc>
          <w:tcPr>
            <w:tcW w:w="898" w:type="dxa"/>
            <w:vAlign w:val="center"/>
          </w:tcPr>
          <w:p w14:paraId="3A37F55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拆除</w:t>
            </w:r>
          </w:p>
        </w:tc>
        <w:tc>
          <w:tcPr>
            <w:tcW w:w="5580" w:type="dxa"/>
            <w:vAlign w:val="center"/>
          </w:tcPr>
          <w:p w14:paraId="551CD0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）滑模装置分段拆除时各分段未采取固定措施，扣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AF5B1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）支承杆的拆除未采取防坠措施，扣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95296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）滑模装置拆除时，未按规定设置警戒区或未指定专人负责统一指挥，扣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15695AFF">
            <w:pPr>
              <w:pStyle w:val="42"/>
              <w:rPr>
                <w:color w:val="000000" w:themeColor="text1"/>
                <w14:textFill>
                  <w14:solidFill>
                    <w14:schemeClr w14:val="tx1"/>
                  </w14:solidFill>
                </w14:textFill>
              </w:rPr>
            </w:pPr>
          </w:p>
        </w:tc>
        <w:tc>
          <w:tcPr>
            <w:tcW w:w="720" w:type="dxa"/>
            <w:vAlign w:val="center"/>
          </w:tcPr>
          <w:p w14:paraId="4492626C">
            <w:pPr>
              <w:pStyle w:val="42"/>
              <w:rPr>
                <w:color w:val="000000" w:themeColor="text1"/>
                <w14:textFill>
                  <w14:solidFill>
                    <w14:schemeClr w14:val="tx1"/>
                  </w14:solidFill>
                </w14:textFill>
              </w:rPr>
            </w:pPr>
          </w:p>
        </w:tc>
        <w:tc>
          <w:tcPr>
            <w:tcW w:w="720" w:type="dxa"/>
            <w:vAlign w:val="center"/>
          </w:tcPr>
          <w:p w14:paraId="61BE531B">
            <w:pPr>
              <w:pStyle w:val="42"/>
              <w:rPr>
                <w:color w:val="000000" w:themeColor="text1"/>
                <w14:textFill>
                  <w14:solidFill>
                    <w14:schemeClr w14:val="tx1"/>
                  </w14:solidFill>
                </w14:textFill>
              </w:rPr>
            </w:pPr>
          </w:p>
        </w:tc>
      </w:tr>
      <w:tr w14:paraId="38E6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F741C16">
            <w:pPr>
              <w:pStyle w:val="42"/>
              <w:rPr>
                <w:color w:val="000000" w:themeColor="text1"/>
                <w14:textFill>
                  <w14:solidFill>
                    <w14:schemeClr w14:val="tx1"/>
                  </w14:solidFill>
                </w14:textFill>
              </w:rPr>
            </w:pPr>
          </w:p>
        </w:tc>
        <w:tc>
          <w:tcPr>
            <w:tcW w:w="543" w:type="dxa"/>
            <w:vMerge w:val="continue"/>
          </w:tcPr>
          <w:p w14:paraId="22738346">
            <w:pPr>
              <w:pStyle w:val="42"/>
              <w:rPr>
                <w:color w:val="000000" w:themeColor="text1"/>
                <w14:textFill>
                  <w14:solidFill>
                    <w14:schemeClr w14:val="tx1"/>
                  </w14:solidFill>
                </w14:textFill>
              </w:rPr>
            </w:pPr>
          </w:p>
        </w:tc>
        <w:tc>
          <w:tcPr>
            <w:tcW w:w="6478" w:type="dxa"/>
            <w:gridSpan w:val="2"/>
            <w:vAlign w:val="center"/>
          </w:tcPr>
          <w:p w14:paraId="4AFB51C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63738DFC">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0352B5B1">
            <w:pPr>
              <w:pStyle w:val="42"/>
              <w:rPr>
                <w:color w:val="000000" w:themeColor="text1"/>
                <w14:textFill>
                  <w14:solidFill>
                    <w14:schemeClr w14:val="tx1"/>
                  </w14:solidFill>
                </w14:textFill>
              </w:rPr>
            </w:pPr>
          </w:p>
        </w:tc>
        <w:tc>
          <w:tcPr>
            <w:tcW w:w="720" w:type="dxa"/>
            <w:vAlign w:val="center"/>
          </w:tcPr>
          <w:p w14:paraId="7C4B85B6">
            <w:pPr>
              <w:pStyle w:val="42"/>
              <w:rPr>
                <w:color w:val="000000" w:themeColor="text1"/>
                <w14:textFill>
                  <w14:solidFill>
                    <w14:schemeClr w14:val="tx1"/>
                  </w14:solidFill>
                </w14:textFill>
              </w:rPr>
            </w:pPr>
          </w:p>
        </w:tc>
      </w:tr>
      <w:tr w14:paraId="3CC3B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127661FA">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5DAC4921">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3C60B555">
            <w:pPr>
              <w:pStyle w:val="42"/>
              <w:rPr>
                <w:color w:val="000000" w:themeColor="text1"/>
                <w14:textFill>
                  <w14:solidFill>
                    <w14:schemeClr w14:val="tx1"/>
                  </w14:solidFill>
                </w14:textFill>
              </w:rPr>
            </w:pPr>
          </w:p>
        </w:tc>
        <w:tc>
          <w:tcPr>
            <w:tcW w:w="720" w:type="dxa"/>
            <w:vAlign w:val="center"/>
          </w:tcPr>
          <w:p w14:paraId="3BFCD1B6">
            <w:pPr>
              <w:pStyle w:val="42"/>
              <w:rPr>
                <w:color w:val="000000" w:themeColor="text1"/>
                <w14:textFill>
                  <w14:solidFill>
                    <w14:schemeClr w14:val="tx1"/>
                  </w14:solidFill>
                </w14:textFill>
              </w:rPr>
            </w:pPr>
          </w:p>
        </w:tc>
      </w:tr>
    </w:tbl>
    <w:p w14:paraId="7465C61D">
      <w:pPr>
        <w:rPr>
          <w:color w:val="000000" w:themeColor="text1"/>
          <w14:textFill>
            <w14:solidFill>
              <w14:schemeClr w14:val="tx1"/>
            </w14:solidFill>
          </w14:textFill>
        </w:rPr>
      </w:pPr>
    </w:p>
    <w:p w14:paraId="1A4FCBBF">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6" w:name="_Toc7434"/>
      <w:bookmarkStart w:id="67" w:name="_Toc1891"/>
      <w:bookmarkStart w:id="68" w:name="_Toc19144"/>
      <w:r>
        <w:rPr>
          <w:rFonts w:hint="eastAsia"/>
          <w:color w:val="000000" w:themeColor="text1"/>
          <w14:textFill>
            <w14:solidFill>
              <w14:schemeClr w14:val="tx1"/>
            </w14:solidFill>
          </w14:textFill>
        </w:rPr>
        <w:t>表</w:t>
      </w:r>
      <w:r>
        <w:rPr>
          <w:color w:val="000000" w:themeColor="text1"/>
          <w14:textFill>
            <w14:solidFill>
              <w14:schemeClr w14:val="tx1"/>
            </w14:solidFill>
          </w14:textFill>
        </w:rPr>
        <w:t>22</w:t>
      </w:r>
      <w:r>
        <w:rPr>
          <w:rFonts w:hint="eastAsia"/>
          <w:color w:val="000000" w:themeColor="text1"/>
          <w14:textFill>
            <w14:solidFill>
              <w14:schemeClr w14:val="tx1"/>
            </w14:solidFill>
          </w14:textFill>
        </w:rPr>
        <w:t xml:space="preserve">  液压爬升模板检查</w:t>
      </w:r>
      <w:r>
        <w:rPr>
          <w:color w:val="000000" w:themeColor="text1"/>
          <w14:textFill>
            <w14:solidFill>
              <w14:schemeClr w14:val="tx1"/>
            </w14:solidFill>
          </w14:textFill>
        </w:rPr>
        <w:t>评分表</w:t>
      </w:r>
      <w:bookmarkEnd w:id="66"/>
      <w:bookmarkEnd w:id="67"/>
      <w:bookmarkEnd w:id="68"/>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6BB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307A904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3A967B0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50386B5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35C0159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2135681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01B67B8F">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BFED40A">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5C72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6E3DCF41">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370996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064399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12A2CBA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1765260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5B3207A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专项方案</w:t>
            </w:r>
          </w:p>
        </w:tc>
        <w:tc>
          <w:tcPr>
            <w:tcW w:w="5580" w:type="dxa"/>
            <w:vAlign w:val="center"/>
          </w:tcPr>
          <w:p w14:paraId="19172B9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）未编制专项施工方案或未进行设计计算，扣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F981F5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85AC00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D35E9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CF426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）专项方案交底无针对性或无文字记录，扣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tc>
        <w:tc>
          <w:tcPr>
            <w:tcW w:w="720" w:type="dxa"/>
            <w:vAlign w:val="center"/>
          </w:tcPr>
          <w:p w14:paraId="22D15D3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3E10037">
            <w:pPr>
              <w:pStyle w:val="42"/>
              <w:rPr>
                <w:color w:val="000000" w:themeColor="text1"/>
                <w14:textFill>
                  <w14:solidFill>
                    <w14:schemeClr w14:val="tx1"/>
                  </w14:solidFill>
                </w14:textFill>
              </w:rPr>
            </w:pPr>
          </w:p>
        </w:tc>
        <w:tc>
          <w:tcPr>
            <w:tcW w:w="720" w:type="dxa"/>
            <w:vAlign w:val="center"/>
          </w:tcPr>
          <w:p w14:paraId="184412CE">
            <w:pPr>
              <w:pStyle w:val="42"/>
              <w:rPr>
                <w:color w:val="000000" w:themeColor="text1"/>
                <w14:textFill>
                  <w14:solidFill>
                    <w14:schemeClr w14:val="tx1"/>
                  </w14:solidFill>
                </w14:textFill>
              </w:rPr>
            </w:pPr>
          </w:p>
        </w:tc>
      </w:tr>
      <w:tr w14:paraId="3CBEC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0707F6B6">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5AAE5963">
            <w:pPr>
              <w:pStyle w:val="42"/>
              <w:rPr>
                <w:color w:val="000000" w:themeColor="text1"/>
                <w14:textFill>
                  <w14:solidFill>
                    <w14:schemeClr w14:val="tx1"/>
                  </w14:solidFill>
                </w14:textFill>
              </w:rPr>
            </w:pPr>
          </w:p>
        </w:tc>
        <w:tc>
          <w:tcPr>
            <w:tcW w:w="898" w:type="dxa"/>
            <w:vAlign w:val="center"/>
          </w:tcPr>
          <w:p w14:paraId="6EBE814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承载体</w:t>
            </w:r>
          </w:p>
        </w:tc>
        <w:tc>
          <w:tcPr>
            <w:tcW w:w="5580" w:type="dxa"/>
            <w:vAlign w:val="center"/>
          </w:tcPr>
          <w:p w14:paraId="6DF21B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）锥形承载接头的安装位置与爬模设计规定的定位中心超过</w:t>
            </w:r>
            <w:r>
              <w:rPr>
                <w:color w:val="000000" w:themeColor="text1"/>
                <w14:textFill>
                  <w14:solidFill>
                    <w14:schemeClr w14:val="tx1"/>
                  </w14:solidFill>
                </w14:textFill>
              </w:rPr>
              <w:t>±5mm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2B802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）挂钩连接座未采用专用承载螺栓固定，或未与建筑物表面有效接触，扣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93E104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）锥体螺母长度小于承载螺栓外径的</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5349A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）预埋件和承载螺栓拧入锥体螺母的深度不同时大于承载螺栓外径的</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753688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）承载螺栓螺杆露出螺母小于</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扣，或垫板尺寸小于</w:t>
            </w:r>
            <w:r>
              <w:rPr>
                <w:color w:val="000000" w:themeColor="text1"/>
                <w14:textFill>
                  <w14:solidFill>
                    <w14:schemeClr w14:val="tx1"/>
                  </w14:solidFill>
                </w14:textFill>
              </w:rPr>
              <w:t>100mm×100mm×10mm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117D78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）承载螺栓未与锥体螺母扭紧，扣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E6553B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68F4D6E">
            <w:pPr>
              <w:pStyle w:val="42"/>
              <w:rPr>
                <w:color w:val="000000" w:themeColor="text1"/>
                <w14:textFill>
                  <w14:solidFill>
                    <w14:schemeClr w14:val="tx1"/>
                  </w14:solidFill>
                </w14:textFill>
              </w:rPr>
            </w:pPr>
          </w:p>
        </w:tc>
        <w:tc>
          <w:tcPr>
            <w:tcW w:w="720" w:type="dxa"/>
            <w:vAlign w:val="center"/>
          </w:tcPr>
          <w:p w14:paraId="3A8B373B">
            <w:pPr>
              <w:pStyle w:val="42"/>
              <w:rPr>
                <w:color w:val="000000" w:themeColor="text1"/>
                <w14:textFill>
                  <w14:solidFill>
                    <w14:schemeClr w14:val="tx1"/>
                  </w14:solidFill>
                </w14:textFill>
              </w:rPr>
            </w:pPr>
          </w:p>
        </w:tc>
      </w:tr>
      <w:tr w14:paraId="0237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EDECF2E">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5BC449C9">
            <w:pPr>
              <w:pStyle w:val="42"/>
              <w:rPr>
                <w:color w:val="000000" w:themeColor="text1"/>
                <w14:textFill>
                  <w14:solidFill>
                    <w14:schemeClr w14:val="tx1"/>
                  </w14:solidFill>
                </w14:textFill>
              </w:rPr>
            </w:pPr>
          </w:p>
        </w:tc>
        <w:tc>
          <w:tcPr>
            <w:tcW w:w="898" w:type="dxa"/>
            <w:vAlign w:val="center"/>
          </w:tcPr>
          <w:p w14:paraId="0BF2231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防倾、防坠装置</w:t>
            </w:r>
          </w:p>
        </w:tc>
        <w:tc>
          <w:tcPr>
            <w:tcW w:w="5580" w:type="dxa"/>
            <w:vAlign w:val="center"/>
          </w:tcPr>
          <w:p w14:paraId="705E43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）导轨的垂直度大于</w:t>
            </w:r>
            <w:r>
              <w:rPr>
                <w:color w:val="000000" w:themeColor="text1"/>
                <w14:textFill>
                  <w14:solidFill>
                    <w14:schemeClr w14:val="tx1"/>
                  </w14:solidFill>
                </w14:textFill>
              </w:rPr>
              <w:t>5/1000</w:t>
            </w:r>
            <w:r>
              <w:rPr>
                <w:rFonts w:hint="eastAsia"/>
                <w:color w:val="000000" w:themeColor="text1"/>
                <w14:textFill>
                  <w14:solidFill>
                    <w14:schemeClr w14:val="tx1"/>
                  </w14:solidFill>
                </w14:textFill>
              </w:rPr>
              <w:t>或</w:t>
            </w:r>
            <w:r>
              <w:rPr>
                <w:color w:val="000000" w:themeColor="text1"/>
                <w14:textFill>
                  <w14:solidFill>
                    <w14:schemeClr w14:val="tx1"/>
                  </w14:solidFill>
                </w14:textFill>
              </w:rPr>
              <w:t>30mm</w:t>
            </w:r>
            <w:r>
              <w:rPr>
                <w:rFonts w:hint="eastAsia"/>
                <w:color w:val="000000" w:themeColor="text1"/>
                <w14:textFill>
                  <w14:solidFill>
                    <w14:schemeClr w14:val="tx1"/>
                  </w14:solidFill>
                </w14:textFill>
              </w:rPr>
              <w:t>，或工作状态中的最大挠度大于</w:t>
            </w:r>
            <w:r>
              <w:rPr>
                <w:color w:val="000000" w:themeColor="text1"/>
                <w14:textFill>
                  <w14:solidFill>
                    <w14:schemeClr w14:val="tx1"/>
                  </w14:solidFill>
                </w14:textFill>
              </w:rPr>
              <w:t>5mm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E85A3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）防倾装置的导向间隙大于</w:t>
            </w:r>
            <w:r>
              <w:rPr>
                <w:color w:val="000000" w:themeColor="text1"/>
                <w14:textFill>
                  <w14:solidFill>
                    <w14:schemeClr w14:val="tx1"/>
                  </w14:solidFill>
                </w14:textFill>
              </w:rPr>
              <w:t>5mm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B820B0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）防坠装置不灵敏可靠，或下坠制动距离大于</w:t>
            </w:r>
            <w:r>
              <w:rPr>
                <w:color w:val="000000" w:themeColor="text1"/>
                <w14:textFill>
                  <w14:solidFill>
                    <w14:schemeClr w14:val="tx1"/>
                  </w14:solidFill>
                </w14:textFill>
              </w:rPr>
              <w:t>50mm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689CCB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）液压系统超载时不能启动溢流阀保护功能，扣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232571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）油缸油管破裂时不能启动液压锁保护功能，扣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9BF991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）油缸不同步时不能单独升降某个油缸，扣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BF4A75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12BF441">
            <w:pPr>
              <w:pStyle w:val="42"/>
              <w:rPr>
                <w:color w:val="000000" w:themeColor="text1"/>
                <w14:textFill>
                  <w14:solidFill>
                    <w14:schemeClr w14:val="tx1"/>
                  </w14:solidFill>
                </w14:textFill>
              </w:rPr>
            </w:pPr>
          </w:p>
        </w:tc>
        <w:tc>
          <w:tcPr>
            <w:tcW w:w="720" w:type="dxa"/>
            <w:vAlign w:val="center"/>
          </w:tcPr>
          <w:p w14:paraId="53DBF5FA">
            <w:pPr>
              <w:pStyle w:val="42"/>
              <w:rPr>
                <w:color w:val="000000" w:themeColor="text1"/>
                <w14:textFill>
                  <w14:solidFill>
                    <w14:schemeClr w14:val="tx1"/>
                  </w14:solidFill>
                </w14:textFill>
              </w:rPr>
            </w:pPr>
          </w:p>
        </w:tc>
      </w:tr>
      <w:tr w14:paraId="3D08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3BA8801">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4EC6A0BC">
            <w:pPr>
              <w:pStyle w:val="42"/>
              <w:rPr>
                <w:color w:val="000000" w:themeColor="text1"/>
                <w14:textFill>
                  <w14:solidFill>
                    <w14:schemeClr w14:val="tx1"/>
                  </w14:solidFill>
                </w14:textFill>
              </w:rPr>
            </w:pPr>
          </w:p>
        </w:tc>
        <w:tc>
          <w:tcPr>
            <w:tcW w:w="898" w:type="dxa"/>
            <w:vAlign w:val="center"/>
          </w:tcPr>
          <w:p w14:paraId="320DB94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爬升机构</w:t>
            </w:r>
          </w:p>
        </w:tc>
        <w:tc>
          <w:tcPr>
            <w:tcW w:w="5580" w:type="dxa"/>
            <w:vAlign w:val="center"/>
          </w:tcPr>
          <w:p w14:paraId="5D5823F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）导轨的梯挡与油缸行程不匹配，或不满足与防坠爬升器相互运动的要求，扣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A2E15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）导轨顶部不能与挂钩连接座可靠挂接，或中部未穿入架体防倾调节支腿中，扣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068E2E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）上、下防坠爬升器的定位销、限位器、导向板、承力块等组装件转动不灵活，或定位不正确，扣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FDD7D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）防坠爬升器换向不可靠，或不能确保棘爪支承在导轨的梯挡上，扣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DC4ED2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）油缸机位间距不满足爬模设计及标准的规定，扣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C35A83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）油缸选用的额定荷载小于工作荷载的</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1383315">
            <w:pPr>
              <w:pStyle w:val="4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720" w:type="dxa"/>
            <w:vAlign w:val="center"/>
          </w:tcPr>
          <w:p w14:paraId="2C400977">
            <w:pPr>
              <w:pStyle w:val="42"/>
              <w:rPr>
                <w:color w:val="000000" w:themeColor="text1"/>
                <w14:textFill>
                  <w14:solidFill>
                    <w14:schemeClr w14:val="tx1"/>
                  </w14:solidFill>
                </w14:textFill>
              </w:rPr>
            </w:pPr>
          </w:p>
        </w:tc>
        <w:tc>
          <w:tcPr>
            <w:tcW w:w="720" w:type="dxa"/>
            <w:vAlign w:val="center"/>
          </w:tcPr>
          <w:p w14:paraId="4C021132">
            <w:pPr>
              <w:pStyle w:val="42"/>
              <w:rPr>
                <w:color w:val="000000" w:themeColor="text1"/>
                <w14:textFill>
                  <w14:solidFill>
                    <w14:schemeClr w14:val="tx1"/>
                  </w14:solidFill>
                </w14:textFill>
              </w:rPr>
            </w:pPr>
          </w:p>
        </w:tc>
      </w:tr>
      <w:tr w14:paraId="5EAC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09AD1583">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456EE488">
            <w:pPr>
              <w:pStyle w:val="42"/>
              <w:rPr>
                <w:color w:val="000000" w:themeColor="text1"/>
                <w14:textFill>
                  <w14:solidFill>
                    <w14:schemeClr w14:val="tx1"/>
                  </w14:solidFill>
                </w14:textFill>
              </w:rPr>
            </w:pPr>
          </w:p>
        </w:tc>
        <w:tc>
          <w:tcPr>
            <w:tcW w:w="898" w:type="dxa"/>
            <w:vAlign w:val="center"/>
          </w:tcPr>
          <w:p w14:paraId="3C9C669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架体爬升</w:t>
            </w:r>
          </w:p>
        </w:tc>
        <w:tc>
          <w:tcPr>
            <w:tcW w:w="5580" w:type="dxa"/>
            <w:vAlign w:val="center"/>
          </w:tcPr>
          <w:p w14:paraId="1728FE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）爬模装置爬升时，承载体受力处混凝土的强度未达到</w:t>
            </w:r>
            <w:r>
              <w:rPr>
                <w:color w:val="000000" w:themeColor="text1"/>
                <w14:textFill>
                  <w14:solidFill>
                    <w14:schemeClr w14:val="tx1"/>
                  </w14:solidFill>
                </w14:textFill>
              </w:rPr>
              <w:t>10MPa</w:t>
            </w:r>
            <w:r>
              <w:rPr>
                <w:rFonts w:hint="eastAsia"/>
                <w:color w:val="000000" w:themeColor="text1"/>
                <w14:textFill>
                  <w14:solidFill>
                    <w14:schemeClr w14:val="tx1"/>
                  </w14:solidFill>
                </w14:textFill>
              </w:rPr>
              <w:t>，或不满足设计要求，扣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3D5E30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）架体爬升前，未解除下层附墙连接装置及相邻分段架体之间、架体与构筑物之间的连接，扣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5820FA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）架体爬升前，未清除操作平台上的堆料，扣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A12949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）防坠爬升器的工作状态与导轨或架体的爬升状态不一致，扣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DDD22F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）导轨爬升前，导轨锁定销键和导轨底部调节支腿未处于松开状态，扣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E71B9D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）架体爬升前，架体防倾调节支腿未退出，或挂钩锁定销应处于拔出状态，扣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0618C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）架体爬升到位后，挂钩连接座未及时插入承力销和挂钩锁定销，或未及时将防倾调节支腿紧密顶撑在混凝土结构上扣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E52369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）架体爬升到位后，未及时建立下层附墙连接装置及相邻分段架体之间、架体与构筑物之间的连接，扣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717FC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）架体爬升过程未设专人检查防坠爬升器，确保棘爪处于正常工作状态，扣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B506745">
            <w:pPr>
              <w:pStyle w:val="42"/>
              <w:rPr>
                <w:color w:val="000000" w:themeColor="text1"/>
                <w14:textFill>
                  <w14:solidFill>
                    <w14:schemeClr w14:val="tx1"/>
                  </w14:solidFill>
                </w14:textFill>
              </w:rPr>
            </w:pPr>
            <w:r>
              <w:rPr>
                <w:color w:val="000000" w:themeColor="text1"/>
                <w14:textFill>
                  <w14:solidFill>
                    <w14:schemeClr w14:val="tx1"/>
                  </w14:solidFill>
                </w14:textFill>
              </w:rPr>
              <w:t>15</w:t>
            </w:r>
          </w:p>
        </w:tc>
        <w:tc>
          <w:tcPr>
            <w:tcW w:w="720" w:type="dxa"/>
            <w:vAlign w:val="center"/>
          </w:tcPr>
          <w:p w14:paraId="37D629C0">
            <w:pPr>
              <w:pStyle w:val="42"/>
              <w:rPr>
                <w:color w:val="000000" w:themeColor="text1"/>
                <w14:textFill>
                  <w14:solidFill>
                    <w14:schemeClr w14:val="tx1"/>
                  </w14:solidFill>
                </w14:textFill>
              </w:rPr>
            </w:pPr>
          </w:p>
        </w:tc>
        <w:tc>
          <w:tcPr>
            <w:tcW w:w="720" w:type="dxa"/>
            <w:vAlign w:val="center"/>
          </w:tcPr>
          <w:p w14:paraId="205DA857">
            <w:pPr>
              <w:pStyle w:val="42"/>
              <w:rPr>
                <w:color w:val="000000" w:themeColor="text1"/>
                <w14:textFill>
                  <w14:solidFill>
                    <w14:schemeClr w14:val="tx1"/>
                  </w14:solidFill>
                </w14:textFill>
              </w:rPr>
            </w:pPr>
          </w:p>
        </w:tc>
      </w:tr>
      <w:tr w14:paraId="7D3C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6964C917">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restart"/>
            <w:vAlign w:val="center"/>
          </w:tcPr>
          <w:p w14:paraId="2D7E5C62">
            <w:pPr>
              <w:pStyle w:val="42"/>
              <w:rPr>
                <w:color w:val="000000" w:themeColor="text1"/>
                <w14:textFill>
                  <w14:solidFill>
                    <w14:schemeClr w14:val="tx1"/>
                  </w14:solidFill>
                </w14:textFill>
              </w:rPr>
            </w:pPr>
          </w:p>
        </w:tc>
        <w:tc>
          <w:tcPr>
            <w:tcW w:w="898" w:type="dxa"/>
            <w:vAlign w:val="center"/>
          </w:tcPr>
          <w:p w14:paraId="2327119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检查验收</w:t>
            </w:r>
          </w:p>
        </w:tc>
        <w:tc>
          <w:tcPr>
            <w:tcW w:w="5580" w:type="dxa"/>
            <w:vAlign w:val="center"/>
          </w:tcPr>
          <w:p w14:paraId="71E66C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附墙装置、爬升装置、防倾和防坠装置以及架体结构的主要构配件进场未按规定进行验收，扣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3D2444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）未提供应至少两个机位的出厂前爬模装置的安装试验、爬升性能试验和承载试验检验报告，扣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1D34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）爬模装置安装完毕未按规定进行整体验收，扣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分；验收内容和指标未按标准要求进行量化，扣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C7C03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）架体每次爬升前未组织安全检查，或未按标准要求形成安全检查记录，扣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9A5E31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6CC0909">
            <w:pPr>
              <w:pStyle w:val="42"/>
              <w:rPr>
                <w:color w:val="000000" w:themeColor="text1"/>
                <w14:textFill>
                  <w14:solidFill>
                    <w14:schemeClr w14:val="tx1"/>
                  </w14:solidFill>
                </w14:textFill>
              </w:rPr>
            </w:pPr>
          </w:p>
        </w:tc>
        <w:tc>
          <w:tcPr>
            <w:tcW w:w="720" w:type="dxa"/>
            <w:vAlign w:val="center"/>
          </w:tcPr>
          <w:p w14:paraId="645427EA">
            <w:pPr>
              <w:pStyle w:val="42"/>
              <w:rPr>
                <w:color w:val="000000" w:themeColor="text1"/>
                <w14:textFill>
                  <w14:solidFill>
                    <w14:schemeClr w14:val="tx1"/>
                  </w14:solidFill>
                </w14:textFill>
              </w:rPr>
            </w:pPr>
          </w:p>
        </w:tc>
      </w:tr>
      <w:tr w14:paraId="266E1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32958C2">
            <w:pPr>
              <w:pStyle w:val="42"/>
              <w:rPr>
                <w:color w:val="000000" w:themeColor="text1"/>
                <w14:textFill>
                  <w14:solidFill>
                    <w14:schemeClr w14:val="tx1"/>
                  </w14:solidFill>
                </w14:textFill>
              </w:rPr>
            </w:pPr>
          </w:p>
        </w:tc>
        <w:tc>
          <w:tcPr>
            <w:tcW w:w="543" w:type="dxa"/>
            <w:vMerge w:val="continue"/>
            <w:vAlign w:val="center"/>
          </w:tcPr>
          <w:p w14:paraId="04F82567">
            <w:pPr>
              <w:pStyle w:val="42"/>
              <w:rPr>
                <w:color w:val="000000" w:themeColor="text1"/>
                <w14:textFill>
                  <w14:solidFill>
                    <w14:schemeClr w14:val="tx1"/>
                  </w14:solidFill>
                </w14:textFill>
              </w:rPr>
            </w:pPr>
          </w:p>
        </w:tc>
        <w:tc>
          <w:tcPr>
            <w:tcW w:w="6478" w:type="dxa"/>
            <w:gridSpan w:val="2"/>
            <w:vAlign w:val="center"/>
          </w:tcPr>
          <w:p w14:paraId="4E2DCB51">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25B6130">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7D72095D">
            <w:pPr>
              <w:pStyle w:val="42"/>
              <w:rPr>
                <w:color w:val="000000" w:themeColor="text1"/>
                <w14:textFill>
                  <w14:solidFill>
                    <w14:schemeClr w14:val="tx1"/>
                  </w14:solidFill>
                </w14:textFill>
              </w:rPr>
            </w:pPr>
          </w:p>
        </w:tc>
        <w:tc>
          <w:tcPr>
            <w:tcW w:w="720" w:type="dxa"/>
            <w:vAlign w:val="center"/>
          </w:tcPr>
          <w:p w14:paraId="57891F19">
            <w:pPr>
              <w:pStyle w:val="42"/>
              <w:rPr>
                <w:color w:val="000000" w:themeColor="text1"/>
                <w14:textFill>
                  <w14:solidFill>
                    <w14:schemeClr w14:val="tx1"/>
                  </w14:solidFill>
                </w14:textFill>
              </w:rPr>
            </w:pPr>
          </w:p>
        </w:tc>
      </w:tr>
      <w:tr w14:paraId="4A5CC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7452BE3B">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77A0F5C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419A80C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70A6D2F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262FD69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5A884A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架体构造</w:t>
            </w:r>
          </w:p>
        </w:tc>
        <w:tc>
          <w:tcPr>
            <w:tcW w:w="5580" w:type="dxa"/>
            <w:vAlign w:val="center"/>
          </w:tcPr>
          <w:p w14:paraId="1FD35A2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）上架体高度、宽度不满足结构施工操作需要，扣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58ACD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）下架体高度和宽度不满足爬模装置操作需要或模板工程施工操作需要，扣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773D89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）上架体和下架体未采用纵向连系梁将平面架体连成整体，扣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E3C46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）架体主框架水平支承跨度大于</w:t>
            </w:r>
            <w:r>
              <w:rPr>
                <w:color w:val="000000" w:themeColor="text1"/>
                <w14:textFill>
                  <w14:solidFill>
                    <w14:schemeClr w14:val="tx1"/>
                  </w14:solidFill>
                </w14:textFill>
              </w:rPr>
              <w:t>6m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A9432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）架体的水平悬臂长度大于水平支承跨度的</w:t>
            </w:r>
            <w:r>
              <w:rPr>
                <w:color w:val="000000" w:themeColor="text1"/>
                <w14:textFill>
                  <w14:solidFill>
                    <w14:schemeClr w14:val="tx1"/>
                  </w14:solidFill>
                </w14:textFill>
              </w:rPr>
              <w:t>1/3</w:t>
            </w:r>
            <w:r>
              <w:rPr>
                <w:rFonts w:hint="eastAsia"/>
                <w:color w:val="000000" w:themeColor="text1"/>
                <w14:textFill>
                  <w14:solidFill>
                    <w14:schemeClr w14:val="tx1"/>
                  </w14:solidFill>
                </w14:textFill>
              </w:rPr>
              <w:t>或</w:t>
            </w:r>
            <w:r>
              <w:rPr>
                <w:color w:val="000000" w:themeColor="text1"/>
                <w14:textFill>
                  <w14:solidFill>
                    <w14:schemeClr w14:val="tx1"/>
                  </w14:solidFill>
                </w14:textFill>
              </w:rPr>
              <w:t>3m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A836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）在爬升和使用工况下，架体竖向悬臂高度大于</w:t>
            </w:r>
            <w:r>
              <w:rPr>
                <w:color w:val="000000" w:themeColor="text1"/>
                <w14:textFill>
                  <w14:solidFill>
                    <w14:schemeClr w14:val="tx1"/>
                  </w14:solidFill>
                </w14:textFill>
              </w:rPr>
              <w:t>7.2m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79AE5F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A7B76D4">
            <w:pPr>
              <w:pStyle w:val="42"/>
              <w:rPr>
                <w:color w:val="000000" w:themeColor="text1"/>
                <w14:textFill>
                  <w14:solidFill>
                    <w14:schemeClr w14:val="tx1"/>
                  </w14:solidFill>
                </w14:textFill>
              </w:rPr>
            </w:pPr>
          </w:p>
        </w:tc>
        <w:tc>
          <w:tcPr>
            <w:tcW w:w="720" w:type="dxa"/>
            <w:vAlign w:val="center"/>
          </w:tcPr>
          <w:p w14:paraId="2F3BBE17">
            <w:pPr>
              <w:pStyle w:val="42"/>
              <w:rPr>
                <w:color w:val="000000" w:themeColor="text1"/>
                <w14:textFill>
                  <w14:solidFill>
                    <w14:schemeClr w14:val="tx1"/>
                  </w14:solidFill>
                </w14:textFill>
              </w:rPr>
            </w:pPr>
          </w:p>
        </w:tc>
      </w:tr>
      <w:tr w14:paraId="6E24D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E90763C">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2214D5A1">
            <w:pPr>
              <w:pStyle w:val="42"/>
              <w:rPr>
                <w:color w:val="000000" w:themeColor="text1"/>
                <w14:textFill>
                  <w14:solidFill>
                    <w14:schemeClr w14:val="tx1"/>
                  </w14:solidFill>
                </w14:textFill>
              </w:rPr>
            </w:pPr>
          </w:p>
        </w:tc>
        <w:tc>
          <w:tcPr>
            <w:tcW w:w="898" w:type="dxa"/>
            <w:vAlign w:val="center"/>
          </w:tcPr>
          <w:p w14:paraId="062D88F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7E89082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）上下操作平台间未设置专用通行梯道，扣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分；梯道不牢固，或通行不畅通，扣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49640E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）上下操作平台未牢固满铺脚手板，扣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5AA9B8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）上、下架体全高范围及吊平台底部未按临边作业要求设置安全防护栏杆、挡脚板、安全立网，扣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64429B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）操作层未在外侧设置高度不低于</w:t>
            </w:r>
            <w:r>
              <w:rPr>
                <w:color w:val="000000" w:themeColor="text1"/>
                <w14:textFill>
                  <w14:solidFill>
                    <w14:schemeClr w14:val="tx1"/>
                  </w14:solidFill>
                </w14:textFill>
              </w:rPr>
              <w:t>180mm</w:t>
            </w:r>
            <w:r>
              <w:rPr>
                <w:rFonts w:hint="eastAsia"/>
                <w:color w:val="000000" w:themeColor="text1"/>
                <w14:textFill>
                  <w14:solidFill>
                    <w14:schemeClr w14:val="tx1"/>
                  </w14:solidFill>
                </w14:textFill>
              </w:rPr>
              <w:t>的挡脚板，扣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03F9D0A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）下操作平台及吊平台与结构表面之间未设置翻板和兜网，扣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DA4A0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）操作平台上应按消防要求设置消防设施，扣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3F95C60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EF373AB">
            <w:pPr>
              <w:pStyle w:val="42"/>
              <w:rPr>
                <w:color w:val="000000" w:themeColor="text1"/>
                <w14:textFill>
                  <w14:solidFill>
                    <w14:schemeClr w14:val="tx1"/>
                  </w14:solidFill>
                </w14:textFill>
              </w:rPr>
            </w:pPr>
          </w:p>
        </w:tc>
        <w:tc>
          <w:tcPr>
            <w:tcW w:w="720" w:type="dxa"/>
            <w:vAlign w:val="center"/>
          </w:tcPr>
          <w:p w14:paraId="4F0C0484">
            <w:pPr>
              <w:pStyle w:val="42"/>
              <w:rPr>
                <w:color w:val="000000" w:themeColor="text1"/>
                <w14:textFill>
                  <w14:solidFill>
                    <w14:schemeClr w14:val="tx1"/>
                  </w14:solidFill>
                </w14:textFill>
              </w:rPr>
            </w:pPr>
          </w:p>
        </w:tc>
      </w:tr>
      <w:tr w14:paraId="3A44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175EC12">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2F8403DC">
            <w:pPr>
              <w:pStyle w:val="42"/>
              <w:rPr>
                <w:color w:val="000000" w:themeColor="text1"/>
                <w14:textFill>
                  <w14:solidFill>
                    <w14:schemeClr w14:val="tx1"/>
                  </w14:solidFill>
                </w14:textFill>
              </w:rPr>
            </w:pPr>
          </w:p>
        </w:tc>
        <w:tc>
          <w:tcPr>
            <w:tcW w:w="898" w:type="dxa"/>
            <w:vAlign w:val="center"/>
          </w:tcPr>
          <w:p w14:paraId="1C8D666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安全作业</w:t>
            </w:r>
          </w:p>
        </w:tc>
        <w:tc>
          <w:tcPr>
            <w:tcW w:w="5580" w:type="dxa"/>
            <w:vAlign w:val="center"/>
          </w:tcPr>
          <w:p w14:paraId="4C370F6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）爬模操作人员未经培训或未定岗定责，扣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744CE6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）操作平台上施工荷载不均匀，或超过设计允许范围，</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810FD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）爬模装置安装、爬升、拆除时未设置安全警戒或未设置专人监护，扣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C38BE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）操作平台与地面之间无可靠的通信联络，或未统一指挥，扣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6B23D87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EE5CDD7">
            <w:pPr>
              <w:pStyle w:val="42"/>
              <w:rPr>
                <w:color w:val="000000" w:themeColor="text1"/>
                <w14:textFill>
                  <w14:solidFill>
                    <w14:schemeClr w14:val="tx1"/>
                  </w14:solidFill>
                </w14:textFill>
              </w:rPr>
            </w:pPr>
          </w:p>
        </w:tc>
        <w:tc>
          <w:tcPr>
            <w:tcW w:w="720" w:type="dxa"/>
            <w:vAlign w:val="center"/>
          </w:tcPr>
          <w:p w14:paraId="56EF88E4">
            <w:pPr>
              <w:pStyle w:val="42"/>
              <w:rPr>
                <w:color w:val="000000" w:themeColor="text1"/>
                <w14:textFill>
                  <w14:solidFill>
                    <w14:schemeClr w14:val="tx1"/>
                  </w14:solidFill>
                </w14:textFill>
              </w:rPr>
            </w:pPr>
          </w:p>
        </w:tc>
      </w:tr>
      <w:tr w14:paraId="5B0D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6121394">
            <w:pPr>
              <w:pStyle w:val="42"/>
              <w:rPr>
                <w:color w:val="000000" w:themeColor="text1"/>
                <w14:textFill>
                  <w14:solidFill>
                    <w14:schemeClr w14:val="tx1"/>
                  </w14:solidFill>
                </w14:textFill>
              </w:rPr>
            </w:pPr>
          </w:p>
        </w:tc>
        <w:tc>
          <w:tcPr>
            <w:tcW w:w="543" w:type="dxa"/>
            <w:vMerge w:val="continue"/>
          </w:tcPr>
          <w:p w14:paraId="3557E563">
            <w:pPr>
              <w:pStyle w:val="42"/>
              <w:rPr>
                <w:color w:val="000000" w:themeColor="text1"/>
                <w14:textFill>
                  <w14:solidFill>
                    <w14:schemeClr w14:val="tx1"/>
                  </w14:solidFill>
                </w14:textFill>
              </w:rPr>
            </w:pPr>
          </w:p>
        </w:tc>
        <w:tc>
          <w:tcPr>
            <w:tcW w:w="6478" w:type="dxa"/>
            <w:gridSpan w:val="2"/>
            <w:vAlign w:val="center"/>
          </w:tcPr>
          <w:p w14:paraId="753B78E0">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05CDD077">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66589437">
            <w:pPr>
              <w:pStyle w:val="42"/>
              <w:rPr>
                <w:color w:val="000000" w:themeColor="text1"/>
                <w14:textFill>
                  <w14:solidFill>
                    <w14:schemeClr w14:val="tx1"/>
                  </w14:solidFill>
                </w14:textFill>
              </w:rPr>
            </w:pPr>
          </w:p>
        </w:tc>
        <w:tc>
          <w:tcPr>
            <w:tcW w:w="720" w:type="dxa"/>
            <w:vAlign w:val="center"/>
          </w:tcPr>
          <w:p w14:paraId="788994B7">
            <w:pPr>
              <w:pStyle w:val="42"/>
              <w:rPr>
                <w:color w:val="000000" w:themeColor="text1"/>
                <w14:textFill>
                  <w14:solidFill>
                    <w14:schemeClr w14:val="tx1"/>
                  </w14:solidFill>
                </w14:textFill>
              </w:rPr>
            </w:pPr>
          </w:p>
        </w:tc>
      </w:tr>
      <w:tr w14:paraId="06B52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71E504D4">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62EEA512">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2152232C">
            <w:pPr>
              <w:pStyle w:val="42"/>
              <w:rPr>
                <w:color w:val="000000" w:themeColor="text1"/>
                <w14:textFill>
                  <w14:solidFill>
                    <w14:schemeClr w14:val="tx1"/>
                  </w14:solidFill>
                </w14:textFill>
              </w:rPr>
            </w:pPr>
          </w:p>
        </w:tc>
        <w:tc>
          <w:tcPr>
            <w:tcW w:w="720" w:type="dxa"/>
            <w:vAlign w:val="center"/>
          </w:tcPr>
          <w:p w14:paraId="0B581811">
            <w:pPr>
              <w:pStyle w:val="42"/>
              <w:rPr>
                <w:color w:val="000000" w:themeColor="text1"/>
                <w14:textFill>
                  <w14:solidFill>
                    <w14:schemeClr w14:val="tx1"/>
                  </w14:solidFill>
                </w14:textFill>
              </w:rPr>
            </w:pPr>
          </w:p>
        </w:tc>
      </w:tr>
    </w:tbl>
    <w:p w14:paraId="7BB2BE1A">
      <w:pPr>
        <w:rPr>
          <w:color w:val="000000" w:themeColor="text1"/>
          <w14:textFill>
            <w14:solidFill>
              <w14:schemeClr w14:val="tx1"/>
            </w14:solidFill>
          </w14:textFill>
        </w:rPr>
      </w:pPr>
    </w:p>
    <w:p w14:paraId="0255626B">
      <w:pPr>
        <w:pStyle w:val="3"/>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9" w:name="_Toc26964"/>
      <w:bookmarkStart w:id="70" w:name="_Toc17712"/>
      <w:bookmarkStart w:id="71" w:name="_Toc11137"/>
      <w:r>
        <w:rPr>
          <w:rFonts w:hint="eastAsia"/>
          <w:color w:val="000000" w:themeColor="text1"/>
          <w14:textFill>
            <w14:solidFill>
              <w14:schemeClr w14:val="tx1"/>
            </w14:solidFill>
          </w14:textFill>
        </w:rPr>
        <w:t>表</w:t>
      </w:r>
      <w:r>
        <w:rPr>
          <w:color w:val="000000" w:themeColor="text1"/>
          <w14:textFill>
            <w14:solidFill>
              <w14:schemeClr w14:val="tx1"/>
            </w14:solidFill>
          </w14:textFill>
        </w:rPr>
        <w:t>23</w:t>
      </w:r>
      <w:r>
        <w:rPr>
          <w:rFonts w:hint="eastAsia"/>
          <w:color w:val="000000" w:themeColor="text1"/>
          <w14:textFill>
            <w14:solidFill>
              <w14:schemeClr w14:val="tx1"/>
            </w14:solidFill>
          </w14:textFill>
        </w:rPr>
        <w:t xml:space="preserve">  矿山法隧道检查</w:t>
      </w:r>
      <w:r>
        <w:rPr>
          <w:color w:val="000000" w:themeColor="text1"/>
          <w14:textFill>
            <w14:solidFill>
              <w14:schemeClr w14:val="tx1"/>
            </w14:solidFill>
          </w14:textFill>
        </w:rPr>
        <w:t>评分表</w:t>
      </w:r>
      <w:bookmarkEnd w:id="69"/>
      <w:bookmarkEnd w:id="70"/>
      <w:bookmarkEnd w:id="71"/>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69882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04FD70F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50B41BA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6D7DC94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695FA89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601DDE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3D8F5DA0">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0B8FD70D">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3FED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33949B20">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5DBF796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304B5D4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6943B31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02441D6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A09391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施工方案</w:t>
            </w:r>
          </w:p>
        </w:tc>
        <w:tc>
          <w:tcPr>
            <w:tcW w:w="5580" w:type="dxa"/>
            <w:vAlign w:val="center"/>
          </w:tcPr>
          <w:p w14:paraId="5162C5D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）编制方案前未对工程周边环境进行核查或未进行安全评估，扣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A749FE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未按规定编制专项施工方案，或模板台车、作业架未经设计计算，扣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1C97E03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）钻爆作业前未按规定编制爆破专项施工方案，或未进行爆破方案设计，扣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1753114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）未对特殊部位、工序制定专项方案或专项措施，每项扣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474AE9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6D57FA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）未按规定组织专家对专项施工方案、爆破专项方案、超规模的非标准段支模体系专项施工方案进行论证，扣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33D5F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7FB020B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）未按规定编制现场应急预案或应急预案内容不全、针对性不强，扣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2112D4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D33AD6E">
            <w:pPr>
              <w:pStyle w:val="42"/>
              <w:rPr>
                <w:color w:val="000000" w:themeColor="text1"/>
                <w14:textFill>
                  <w14:solidFill>
                    <w14:schemeClr w14:val="tx1"/>
                  </w14:solidFill>
                </w14:textFill>
              </w:rPr>
            </w:pPr>
          </w:p>
        </w:tc>
        <w:tc>
          <w:tcPr>
            <w:tcW w:w="720" w:type="dxa"/>
            <w:vAlign w:val="center"/>
          </w:tcPr>
          <w:p w14:paraId="55E5AB6D">
            <w:pPr>
              <w:pStyle w:val="42"/>
              <w:rPr>
                <w:color w:val="000000" w:themeColor="text1"/>
                <w14:textFill>
                  <w14:solidFill>
                    <w14:schemeClr w14:val="tx1"/>
                  </w14:solidFill>
                </w14:textFill>
              </w:rPr>
            </w:pPr>
          </w:p>
        </w:tc>
      </w:tr>
      <w:tr w14:paraId="7F85F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6B5FAC2F">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5D31472E">
            <w:pPr>
              <w:pStyle w:val="42"/>
              <w:rPr>
                <w:color w:val="000000" w:themeColor="text1"/>
                <w14:textFill>
                  <w14:solidFill>
                    <w14:schemeClr w14:val="tx1"/>
                  </w14:solidFill>
                </w14:textFill>
              </w:rPr>
            </w:pPr>
          </w:p>
        </w:tc>
        <w:tc>
          <w:tcPr>
            <w:tcW w:w="898" w:type="dxa"/>
            <w:vAlign w:val="center"/>
          </w:tcPr>
          <w:p w14:paraId="5F6A42E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洞口及交叉口工程</w:t>
            </w:r>
          </w:p>
        </w:tc>
        <w:tc>
          <w:tcPr>
            <w:tcW w:w="5580" w:type="dxa"/>
            <w:vAlign w:val="center"/>
          </w:tcPr>
          <w:p w14:paraId="50807B4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）洞口未按专项施工方案要求采取加固措施，扣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B7B9D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）洞口边坡和仰坡未按设计要求施工或未自上而下施工，扣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9CEF8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）未施作截、排水系统，扣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C6906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）横通道、竖井或正洞连接处未按设计要求进行加固，扣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6CE26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）未建立进出洞、上下井登记制度，或登记记录不全，扣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3EF33F2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）未按设计要求对洞口邻近建（构）筑物采取保护措施或保护措施不完善，扣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6C0D6D6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ED73AD9">
            <w:pPr>
              <w:pStyle w:val="42"/>
              <w:rPr>
                <w:color w:val="000000" w:themeColor="text1"/>
                <w14:textFill>
                  <w14:solidFill>
                    <w14:schemeClr w14:val="tx1"/>
                  </w14:solidFill>
                </w14:textFill>
              </w:rPr>
            </w:pPr>
          </w:p>
        </w:tc>
        <w:tc>
          <w:tcPr>
            <w:tcW w:w="720" w:type="dxa"/>
            <w:vAlign w:val="center"/>
          </w:tcPr>
          <w:p w14:paraId="77FA9146">
            <w:pPr>
              <w:pStyle w:val="42"/>
              <w:rPr>
                <w:color w:val="000000" w:themeColor="text1"/>
                <w14:textFill>
                  <w14:solidFill>
                    <w14:schemeClr w14:val="tx1"/>
                  </w14:solidFill>
                </w14:textFill>
              </w:rPr>
            </w:pPr>
          </w:p>
        </w:tc>
      </w:tr>
      <w:tr w14:paraId="54ACE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A37E370">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1EEEE4AB">
            <w:pPr>
              <w:pStyle w:val="42"/>
              <w:rPr>
                <w:color w:val="000000" w:themeColor="text1"/>
                <w14:textFill>
                  <w14:solidFill>
                    <w14:schemeClr w14:val="tx1"/>
                  </w14:solidFill>
                </w14:textFill>
              </w:rPr>
            </w:pPr>
          </w:p>
        </w:tc>
        <w:tc>
          <w:tcPr>
            <w:tcW w:w="898" w:type="dxa"/>
            <w:vAlign w:val="center"/>
          </w:tcPr>
          <w:p w14:paraId="76118F4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地层超前支护加固</w:t>
            </w:r>
          </w:p>
        </w:tc>
        <w:tc>
          <w:tcPr>
            <w:tcW w:w="5580" w:type="dxa"/>
            <w:vAlign w:val="center"/>
          </w:tcPr>
          <w:p w14:paraId="42E65A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）未按设计要求及标准进行超前支护、加固或未对地下管线等工程周边环境进行保护，扣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A66705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）超前加固前掌子面未按设计要求封闭，扣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08B97A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）大管棚或小导管的材质、规格、长度、间距、外插角等不符合设计和专项施工方案要求，扣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15B2B32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）管棚、超前小导管或开挖面深孔等部位注浆参数不符合设计和专项施工方案要求，或开挖时浆体未达到设计规定强度，扣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464CF66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）浆液配置或存放过程中未设专人管理，扣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C02957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）浅埋地段未按设计要求进行地面注浆加固的，扣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63A2D70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）超前支护或加固效果不满足开挖安全要求，扣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3407589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72C379E">
            <w:pPr>
              <w:pStyle w:val="42"/>
              <w:rPr>
                <w:color w:val="000000" w:themeColor="text1"/>
                <w14:textFill>
                  <w14:solidFill>
                    <w14:schemeClr w14:val="tx1"/>
                  </w14:solidFill>
                </w14:textFill>
              </w:rPr>
            </w:pPr>
          </w:p>
        </w:tc>
        <w:tc>
          <w:tcPr>
            <w:tcW w:w="720" w:type="dxa"/>
            <w:vAlign w:val="center"/>
          </w:tcPr>
          <w:p w14:paraId="10889813">
            <w:pPr>
              <w:pStyle w:val="42"/>
              <w:rPr>
                <w:color w:val="000000" w:themeColor="text1"/>
                <w14:textFill>
                  <w14:solidFill>
                    <w14:schemeClr w14:val="tx1"/>
                  </w14:solidFill>
                </w14:textFill>
              </w:rPr>
            </w:pPr>
          </w:p>
        </w:tc>
      </w:tr>
      <w:tr w14:paraId="70FF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9A93CFD">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72127E5A">
            <w:pPr>
              <w:pStyle w:val="42"/>
              <w:rPr>
                <w:color w:val="000000" w:themeColor="text1"/>
                <w14:textFill>
                  <w14:solidFill>
                    <w14:schemeClr w14:val="tx1"/>
                  </w14:solidFill>
                </w14:textFill>
              </w:rPr>
            </w:pPr>
          </w:p>
        </w:tc>
        <w:tc>
          <w:tcPr>
            <w:tcW w:w="898" w:type="dxa"/>
            <w:vAlign w:val="center"/>
          </w:tcPr>
          <w:p w14:paraId="35F6E8A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隧道开挖</w:t>
            </w:r>
          </w:p>
        </w:tc>
        <w:tc>
          <w:tcPr>
            <w:tcW w:w="5580" w:type="dxa"/>
            <w:vAlign w:val="center"/>
          </w:tcPr>
          <w:p w14:paraId="73ACC95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）未进行开挖面地质描述和地质超前预报，扣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10056C0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）开挖方法和步序不符合设计要求，扣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08493C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）开挖循环进尺不符合设计和专项施工方案要求，扣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1032BC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）相邻隧道作业面纵向间距不符合设计和专项施工方案要求，扣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6CE2A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）作业面周围支护不牢固，或松动石块未及时清除，扣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F6A35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）核心土留置，或台阶长度、导洞间距不符合设计及标准要求，扣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2FACDF6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）不良地质地段掌子面暴露时间过长，或在长时间停工时未及时支护、封闭</w:t>
            </w:r>
          </w:p>
          <w:p w14:paraId="078A42B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）支护参数未根据地质变化及时进行调整，扣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FE3857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）双向开挖面相距</w:t>
            </w:r>
            <w:r>
              <w:rPr>
                <w:color w:val="000000" w:themeColor="text1"/>
                <w14:textFill>
                  <w14:solidFill>
                    <w14:schemeClr w14:val="tx1"/>
                  </w14:solidFill>
                </w14:textFill>
              </w:rPr>
              <w:t>15-30m</w:t>
            </w:r>
            <w:r>
              <w:rPr>
                <w:rFonts w:hint="eastAsia"/>
                <w:color w:val="000000" w:themeColor="text1"/>
                <w14:textFill>
                  <w14:solidFill>
                    <w14:schemeClr w14:val="tx1"/>
                  </w14:solidFill>
                </w14:textFill>
              </w:rPr>
              <w:t>时，未改为单向开挖，扣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27A51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）开挖过程中降水作业未按专项施工方案实施，扣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2D8D2F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5970507">
            <w:pPr>
              <w:pStyle w:val="42"/>
              <w:rPr>
                <w:color w:val="000000" w:themeColor="text1"/>
                <w14:textFill>
                  <w14:solidFill>
                    <w14:schemeClr w14:val="tx1"/>
                  </w14:solidFill>
                </w14:textFill>
              </w:rPr>
            </w:pPr>
          </w:p>
        </w:tc>
        <w:tc>
          <w:tcPr>
            <w:tcW w:w="720" w:type="dxa"/>
            <w:vAlign w:val="center"/>
          </w:tcPr>
          <w:p w14:paraId="5BD269FA">
            <w:pPr>
              <w:pStyle w:val="42"/>
              <w:rPr>
                <w:color w:val="000000" w:themeColor="text1"/>
                <w14:textFill>
                  <w14:solidFill>
                    <w14:schemeClr w14:val="tx1"/>
                  </w14:solidFill>
                </w14:textFill>
              </w:rPr>
            </w:pPr>
          </w:p>
        </w:tc>
      </w:tr>
      <w:tr w14:paraId="7631F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6E654A34">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AEA9989">
            <w:pPr>
              <w:pStyle w:val="42"/>
              <w:rPr>
                <w:color w:val="000000" w:themeColor="text1"/>
                <w14:textFill>
                  <w14:solidFill>
                    <w14:schemeClr w14:val="tx1"/>
                  </w14:solidFill>
                </w14:textFill>
              </w:rPr>
            </w:pPr>
          </w:p>
        </w:tc>
        <w:tc>
          <w:tcPr>
            <w:tcW w:w="898" w:type="dxa"/>
            <w:vAlign w:val="center"/>
          </w:tcPr>
          <w:p w14:paraId="146E90A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爆破</w:t>
            </w:r>
          </w:p>
        </w:tc>
        <w:tc>
          <w:tcPr>
            <w:tcW w:w="5580" w:type="dxa"/>
            <w:vAlign w:val="center"/>
          </w:tcPr>
          <w:p w14:paraId="2CAB14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）爆破器材不符合标准要求，或无检验合格证、技术指标和说明书，扣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2DD001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）爆破器材的存储、运输和处置不符合有关规定，扣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039FD7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）起爆设备或检测仪表未按规定定期标定，扣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BC89D2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）装药量超出设计和爆破方案设计的限制值，扣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9E6F8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）爆破后作业面找顶不净或存在危石，扣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3354C6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）盲炮处理不符合有关安全规定，扣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27F927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）爆破作业时上一循环喷射混凝土终凝时间小于</w:t>
            </w:r>
            <w:r>
              <w:rPr>
                <w:color w:val="000000" w:themeColor="text1"/>
                <w14:textFill>
                  <w14:solidFill>
                    <w14:schemeClr w14:val="tx1"/>
                  </w14:solidFill>
                </w14:textFill>
              </w:rPr>
              <w:t>4h</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6F0D47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）爆破时人员、设备与爆破点的距离小于爆破安全距离时无安全防护措施，扣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F81864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8EBCEA8">
            <w:pPr>
              <w:pStyle w:val="42"/>
              <w:rPr>
                <w:color w:val="000000" w:themeColor="text1"/>
                <w14:textFill>
                  <w14:solidFill>
                    <w14:schemeClr w14:val="tx1"/>
                  </w14:solidFill>
                </w14:textFill>
              </w:rPr>
            </w:pPr>
          </w:p>
        </w:tc>
        <w:tc>
          <w:tcPr>
            <w:tcW w:w="720" w:type="dxa"/>
            <w:vAlign w:val="center"/>
          </w:tcPr>
          <w:p w14:paraId="08882E85">
            <w:pPr>
              <w:pStyle w:val="42"/>
              <w:rPr>
                <w:color w:val="000000" w:themeColor="text1"/>
                <w14:textFill>
                  <w14:solidFill>
                    <w14:schemeClr w14:val="tx1"/>
                  </w14:solidFill>
                </w14:textFill>
              </w:rPr>
            </w:pPr>
          </w:p>
        </w:tc>
      </w:tr>
      <w:tr w14:paraId="7CBE8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B6A877F">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78B4DD74">
            <w:pPr>
              <w:pStyle w:val="42"/>
              <w:rPr>
                <w:color w:val="000000" w:themeColor="text1"/>
                <w14:textFill>
                  <w14:solidFill>
                    <w14:schemeClr w14:val="tx1"/>
                  </w14:solidFill>
                </w14:textFill>
              </w:rPr>
            </w:pPr>
          </w:p>
        </w:tc>
        <w:tc>
          <w:tcPr>
            <w:tcW w:w="898" w:type="dxa"/>
            <w:vAlign w:val="center"/>
          </w:tcPr>
          <w:p w14:paraId="3BE21EC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初期支护</w:t>
            </w:r>
          </w:p>
        </w:tc>
        <w:tc>
          <w:tcPr>
            <w:tcW w:w="5580" w:type="dxa"/>
            <w:vAlign w:val="center"/>
          </w:tcPr>
          <w:p w14:paraId="7C5D79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）型钢、钢格栅、混凝土、锚杆、钢筋网等支护材料的材质、规格不符合设计要求，每项扣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60989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）钢架间距超过设计允许值，扣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676F4E7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）钢架节段间连接方式不符合设计及标准要求，扣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B6466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）钢架底部未垫实或有积水浸泡，每处扣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EBD3B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）钢架之间纵向连接钢筋直径、间距不符合设计文件和标准要求，扣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F40B60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）钢筋网的钢筋间距、搭接长度不符合设计及标准要求，或与锚杆连接不牢固，扣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B6C47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）锚杆及锁脚锚管材质、规格、长度及花眼布置不符合设计和专项施工方案要求，或锚管未按设计要求注浆，每项扣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F5D25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）初期支护未按设计和施工方案要求及时封闭成环，扣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3C0F1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）支护结构变形、损坏未及时处理，扣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AD5C20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）未及时进行初期支护背后回填注浆，扣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3861D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）喷射混凝土开裂、脱落或钢筋、锚杆外露，每项扣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55E7D72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12</w:t>
            </w:r>
            <w:r>
              <w:rPr>
                <w:rFonts w:hint="eastAsia"/>
                <w:color w:val="000000" w:themeColor="text1"/>
                <w14:textFill>
                  <w14:solidFill>
                    <w14:schemeClr w14:val="tx1"/>
                  </w14:solidFill>
                </w14:textFill>
              </w:rPr>
              <w:t>）喷射混凝土厚度、强度未达到设计及标准要求，每处扣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9F0622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13</w:t>
            </w:r>
            <w:r>
              <w:rPr>
                <w:rFonts w:hint="eastAsia"/>
                <w:color w:val="000000" w:themeColor="text1"/>
                <w14:textFill>
                  <w14:solidFill>
                    <w14:schemeClr w14:val="tx1"/>
                  </w14:solidFill>
                </w14:textFill>
              </w:rPr>
              <w:t>）初期支护断面侵限处理（换拱）不符合专项施工方案要求，扣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6FB933A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BF701E5">
            <w:pPr>
              <w:pStyle w:val="42"/>
              <w:rPr>
                <w:color w:val="000000" w:themeColor="text1"/>
                <w14:textFill>
                  <w14:solidFill>
                    <w14:schemeClr w14:val="tx1"/>
                  </w14:solidFill>
                </w14:textFill>
              </w:rPr>
            </w:pPr>
          </w:p>
        </w:tc>
        <w:tc>
          <w:tcPr>
            <w:tcW w:w="720" w:type="dxa"/>
            <w:vAlign w:val="center"/>
          </w:tcPr>
          <w:p w14:paraId="3A43C951">
            <w:pPr>
              <w:pStyle w:val="42"/>
              <w:rPr>
                <w:color w:val="000000" w:themeColor="text1"/>
                <w14:textFill>
                  <w14:solidFill>
                    <w14:schemeClr w14:val="tx1"/>
                  </w14:solidFill>
                </w14:textFill>
              </w:rPr>
            </w:pPr>
          </w:p>
        </w:tc>
      </w:tr>
      <w:tr w14:paraId="528F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C426306">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1C0A8EC6">
            <w:pPr>
              <w:pStyle w:val="42"/>
              <w:rPr>
                <w:color w:val="000000" w:themeColor="text1"/>
                <w14:textFill>
                  <w14:solidFill>
                    <w14:schemeClr w14:val="tx1"/>
                  </w14:solidFill>
                </w14:textFill>
              </w:rPr>
            </w:pPr>
          </w:p>
        </w:tc>
        <w:tc>
          <w:tcPr>
            <w:tcW w:w="898" w:type="dxa"/>
            <w:vAlign w:val="center"/>
          </w:tcPr>
          <w:p w14:paraId="5482BF0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施工监测</w:t>
            </w:r>
          </w:p>
        </w:tc>
        <w:tc>
          <w:tcPr>
            <w:tcW w:w="5580" w:type="dxa"/>
            <w:vAlign w:val="center"/>
          </w:tcPr>
          <w:p w14:paraId="4D673C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）未编制监测方案，扣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FDE9F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）方案中监测项目、监测点布置、监测方法、监测报警值不符合设计及标准要求，每项扣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CD3B3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）未按监测方案确定的项目对拱顶下沉、隧道收敛、爆破振动影响等监测项目进行监测，扣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9CFAA7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）未按规定对受施工影响范围内建（构）筑物、既有铁路或轨道线、重要管线和道路等进行监测，扣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49ECB2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）未按监测方案对其他项目进行监测，扣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136E38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）监测点设置不符合监测方案，扣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88F059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）监测点受破坏未及时恢复，每一测点扣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399C0C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监测的时间间隔不符合监测方案要求或监测结果变化速率较大未加密观测次数，扣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EBC15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）未按设计及工程实际及时处理监测数据并提交监测报告或监测报告内容不完整，扣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2AA23D2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）当监测值达到所规定的报警值时未按规定程序及时、有效处理，扣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6FA8707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2FD2784">
            <w:pPr>
              <w:pStyle w:val="42"/>
              <w:rPr>
                <w:color w:val="000000" w:themeColor="text1"/>
                <w14:textFill>
                  <w14:solidFill>
                    <w14:schemeClr w14:val="tx1"/>
                  </w14:solidFill>
                </w14:textFill>
              </w:rPr>
            </w:pPr>
          </w:p>
        </w:tc>
        <w:tc>
          <w:tcPr>
            <w:tcW w:w="720" w:type="dxa"/>
            <w:vAlign w:val="center"/>
          </w:tcPr>
          <w:p w14:paraId="59940F64">
            <w:pPr>
              <w:pStyle w:val="42"/>
              <w:rPr>
                <w:color w:val="000000" w:themeColor="text1"/>
                <w14:textFill>
                  <w14:solidFill>
                    <w14:schemeClr w14:val="tx1"/>
                  </w14:solidFill>
                </w14:textFill>
              </w:rPr>
            </w:pPr>
          </w:p>
        </w:tc>
      </w:tr>
      <w:tr w14:paraId="1244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ADBFD12">
            <w:pPr>
              <w:pStyle w:val="42"/>
              <w:rPr>
                <w:color w:val="000000" w:themeColor="text1"/>
                <w14:textFill>
                  <w14:solidFill>
                    <w14:schemeClr w14:val="tx1"/>
                  </w14:solidFill>
                </w14:textFill>
              </w:rPr>
            </w:pPr>
          </w:p>
        </w:tc>
        <w:tc>
          <w:tcPr>
            <w:tcW w:w="543" w:type="dxa"/>
            <w:vMerge w:val="continue"/>
            <w:vAlign w:val="center"/>
          </w:tcPr>
          <w:p w14:paraId="075C54F1">
            <w:pPr>
              <w:pStyle w:val="42"/>
              <w:rPr>
                <w:color w:val="000000" w:themeColor="text1"/>
                <w14:textFill>
                  <w14:solidFill>
                    <w14:schemeClr w14:val="tx1"/>
                  </w14:solidFill>
                </w14:textFill>
              </w:rPr>
            </w:pPr>
          </w:p>
        </w:tc>
        <w:tc>
          <w:tcPr>
            <w:tcW w:w="6478" w:type="dxa"/>
            <w:gridSpan w:val="2"/>
            <w:vAlign w:val="center"/>
          </w:tcPr>
          <w:p w14:paraId="7FECF566">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0DD1B6DA">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279B6B44">
            <w:pPr>
              <w:pStyle w:val="42"/>
              <w:rPr>
                <w:color w:val="000000" w:themeColor="text1"/>
                <w14:textFill>
                  <w14:solidFill>
                    <w14:schemeClr w14:val="tx1"/>
                  </w14:solidFill>
                </w14:textFill>
              </w:rPr>
            </w:pPr>
          </w:p>
        </w:tc>
        <w:tc>
          <w:tcPr>
            <w:tcW w:w="720" w:type="dxa"/>
            <w:vAlign w:val="center"/>
          </w:tcPr>
          <w:p w14:paraId="0A6714A9">
            <w:pPr>
              <w:pStyle w:val="42"/>
              <w:rPr>
                <w:color w:val="000000" w:themeColor="text1"/>
                <w14:textFill>
                  <w14:solidFill>
                    <w14:schemeClr w14:val="tx1"/>
                  </w14:solidFill>
                </w14:textFill>
              </w:rPr>
            </w:pPr>
          </w:p>
        </w:tc>
      </w:tr>
      <w:tr w14:paraId="6D5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489008A9">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6DB3D33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2A34DB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62ACFA9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67E7E55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56C6773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防水工程</w:t>
            </w:r>
          </w:p>
        </w:tc>
        <w:tc>
          <w:tcPr>
            <w:tcW w:w="5580" w:type="dxa"/>
            <w:vAlign w:val="center"/>
          </w:tcPr>
          <w:p w14:paraId="4D12C94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）现场未按规定配备消防器材，扣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F3AA3F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）未采取措施防止电焊焊渣飘落到防水材料上，扣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9C7610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）热风口对着人，扣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F193CE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）射钉枪枪口对着人，扣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A5B711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）防水板、土工布等易燃材料余料未及时清理，扣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1F1A25E4">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53A1ECB3">
            <w:pPr>
              <w:pStyle w:val="42"/>
              <w:rPr>
                <w:color w:val="000000" w:themeColor="text1"/>
                <w14:textFill>
                  <w14:solidFill>
                    <w14:schemeClr w14:val="tx1"/>
                  </w14:solidFill>
                </w14:textFill>
              </w:rPr>
            </w:pPr>
          </w:p>
        </w:tc>
        <w:tc>
          <w:tcPr>
            <w:tcW w:w="720" w:type="dxa"/>
            <w:vAlign w:val="center"/>
          </w:tcPr>
          <w:p w14:paraId="34F02D6F">
            <w:pPr>
              <w:pStyle w:val="42"/>
              <w:rPr>
                <w:color w:val="000000" w:themeColor="text1"/>
                <w14:textFill>
                  <w14:solidFill>
                    <w14:schemeClr w14:val="tx1"/>
                  </w14:solidFill>
                </w14:textFill>
              </w:rPr>
            </w:pPr>
          </w:p>
        </w:tc>
      </w:tr>
      <w:tr w14:paraId="4ED92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858BC2C">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636B374">
            <w:pPr>
              <w:pStyle w:val="42"/>
              <w:rPr>
                <w:color w:val="000000" w:themeColor="text1"/>
                <w14:textFill>
                  <w14:solidFill>
                    <w14:schemeClr w14:val="tx1"/>
                  </w14:solidFill>
                </w14:textFill>
              </w:rPr>
            </w:pPr>
          </w:p>
        </w:tc>
        <w:tc>
          <w:tcPr>
            <w:tcW w:w="898" w:type="dxa"/>
            <w:vAlign w:val="center"/>
          </w:tcPr>
          <w:p w14:paraId="3F9BC9B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二次衬砌</w:t>
            </w:r>
          </w:p>
        </w:tc>
        <w:tc>
          <w:tcPr>
            <w:tcW w:w="5580" w:type="dxa"/>
            <w:vAlign w:val="center"/>
          </w:tcPr>
          <w:p w14:paraId="73EAD5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）二次衬砌与掌子面与距离超过设计及标准规定的安全距离，扣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D436B3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）模板台车的工作平台面未牢固满铺防滑板，扣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5CBCB9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）模板台车的工作平台面未在四周按临边作业要求设置防护栏杆，扣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10E3893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）模板台车未设置登高扶梯，扣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分；扶梯未按规定设置栏杆和扶手，扣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6129428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）厂家生产的模板台车无合格证明，扣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EEEA01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）模板台车使用前未经验收，扣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172EC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）模板台车移动时无统一指挥，或设备、电线、管路未撤除或未加保护，扣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05F9B1A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）模板台车堵头拆除无防护措施，扣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774FB11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）模板台车未设安全警示标志，扣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A45845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）非标准段采用支模施工时未编制专项施工方案或未对支撑体系进行设计计算，扣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3B00C72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345F557">
            <w:pPr>
              <w:pStyle w:val="42"/>
              <w:rPr>
                <w:color w:val="000000" w:themeColor="text1"/>
                <w14:textFill>
                  <w14:solidFill>
                    <w14:schemeClr w14:val="tx1"/>
                  </w14:solidFill>
                </w14:textFill>
              </w:rPr>
            </w:pPr>
          </w:p>
        </w:tc>
        <w:tc>
          <w:tcPr>
            <w:tcW w:w="720" w:type="dxa"/>
            <w:vAlign w:val="center"/>
          </w:tcPr>
          <w:p w14:paraId="0DEBFABE">
            <w:pPr>
              <w:pStyle w:val="42"/>
              <w:rPr>
                <w:color w:val="000000" w:themeColor="text1"/>
                <w14:textFill>
                  <w14:solidFill>
                    <w14:schemeClr w14:val="tx1"/>
                  </w14:solidFill>
                </w14:textFill>
              </w:rPr>
            </w:pPr>
          </w:p>
        </w:tc>
      </w:tr>
      <w:tr w14:paraId="58B8D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F28CB0F">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FB337A0">
            <w:pPr>
              <w:pStyle w:val="42"/>
              <w:rPr>
                <w:color w:val="000000" w:themeColor="text1"/>
                <w14:textFill>
                  <w14:solidFill>
                    <w14:schemeClr w14:val="tx1"/>
                  </w14:solidFill>
                </w14:textFill>
              </w:rPr>
            </w:pPr>
          </w:p>
        </w:tc>
        <w:tc>
          <w:tcPr>
            <w:tcW w:w="898" w:type="dxa"/>
            <w:vAlign w:val="center"/>
          </w:tcPr>
          <w:p w14:paraId="16ECCA3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作业架</w:t>
            </w:r>
          </w:p>
        </w:tc>
        <w:tc>
          <w:tcPr>
            <w:tcW w:w="5580" w:type="dxa"/>
            <w:vAlign w:val="center"/>
          </w:tcPr>
          <w:p w14:paraId="55CD0C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）作业架的工作平台面未牢固满铺防滑板，扣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71938A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）作业架的工作平台面未在四周按临边作业要求设置防护栏杆，扣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79D9155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）作业架未设置登高扶梯，扣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分；扶梯未按规定设置栏杆和扶手，扣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09F5D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）厂家生产的作业架无合格证明，扣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6284D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）作业架使用前未经验收，扣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0AFD138">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076B004D">
            <w:pPr>
              <w:pStyle w:val="42"/>
              <w:rPr>
                <w:color w:val="000000" w:themeColor="text1"/>
                <w14:textFill>
                  <w14:solidFill>
                    <w14:schemeClr w14:val="tx1"/>
                  </w14:solidFill>
                </w14:textFill>
              </w:rPr>
            </w:pPr>
          </w:p>
        </w:tc>
        <w:tc>
          <w:tcPr>
            <w:tcW w:w="720" w:type="dxa"/>
            <w:vAlign w:val="center"/>
          </w:tcPr>
          <w:p w14:paraId="06FA2BEF">
            <w:pPr>
              <w:pStyle w:val="42"/>
              <w:rPr>
                <w:color w:val="000000" w:themeColor="text1"/>
                <w14:textFill>
                  <w14:solidFill>
                    <w14:schemeClr w14:val="tx1"/>
                  </w14:solidFill>
                </w14:textFill>
              </w:rPr>
            </w:pPr>
          </w:p>
        </w:tc>
      </w:tr>
      <w:tr w14:paraId="43C2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DBE8A25">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6C942D70">
            <w:pPr>
              <w:pStyle w:val="42"/>
              <w:rPr>
                <w:color w:val="000000" w:themeColor="text1"/>
                <w14:textFill>
                  <w14:solidFill>
                    <w14:schemeClr w14:val="tx1"/>
                  </w14:solidFill>
                </w14:textFill>
              </w:rPr>
            </w:pPr>
          </w:p>
        </w:tc>
        <w:tc>
          <w:tcPr>
            <w:tcW w:w="898" w:type="dxa"/>
            <w:vAlign w:val="center"/>
          </w:tcPr>
          <w:p w14:paraId="515004F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隧道运输</w:t>
            </w:r>
          </w:p>
        </w:tc>
        <w:tc>
          <w:tcPr>
            <w:tcW w:w="5580" w:type="dxa"/>
            <w:vAlign w:val="center"/>
          </w:tcPr>
          <w:p w14:paraId="63486A0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）竖井垂直运输材料过程中，井下作业人员未撤离至安全地带，扣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1703F3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）运输车辆无产品合格证明，扣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3171298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）洞内运输车辆制动失效或人料混载、超载、超宽、超高运输，扣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CCE41D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）洞内车辆照明、信号系统不完善，扣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08E39D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）洞内无交通引导标志，或无车辆限速规定，扣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E5F36D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）车辆启动前未检查或未鸣笛，扣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AD248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）隧道道路周边物体侵界，扣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C552ECC">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79C93EE0">
            <w:pPr>
              <w:pStyle w:val="42"/>
              <w:rPr>
                <w:color w:val="000000" w:themeColor="text1"/>
                <w14:textFill>
                  <w14:solidFill>
                    <w14:schemeClr w14:val="tx1"/>
                  </w14:solidFill>
                </w14:textFill>
              </w:rPr>
            </w:pPr>
          </w:p>
        </w:tc>
        <w:tc>
          <w:tcPr>
            <w:tcW w:w="720" w:type="dxa"/>
            <w:vAlign w:val="center"/>
          </w:tcPr>
          <w:p w14:paraId="1A00993C">
            <w:pPr>
              <w:pStyle w:val="42"/>
              <w:rPr>
                <w:color w:val="000000" w:themeColor="text1"/>
                <w14:textFill>
                  <w14:solidFill>
                    <w14:schemeClr w14:val="tx1"/>
                  </w14:solidFill>
                </w14:textFill>
              </w:rPr>
            </w:pPr>
          </w:p>
        </w:tc>
      </w:tr>
      <w:tr w14:paraId="518DB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E86DB0A">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CA45388">
            <w:pPr>
              <w:pStyle w:val="42"/>
              <w:rPr>
                <w:color w:val="000000" w:themeColor="text1"/>
                <w14:textFill>
                  <w14:solidFill>
                    <w14:schemeClr w14:val="tx1"/>
                  </w14:solidFill>
                </w14:textFill>
              </w:rPr>
            </w:pPr>
          </w:p>
        </w:tc>
        <w:tc>
          <w:tcPr>
            <w:tcW w:w="898" w:type="dxa"/>
            <w:vAlign w:val="center"/>
          </w:tcPr>
          <w:p w14:paraId="23A9C1E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作业环境</w:t>
            </w:r>
          </w:p>
        </w:tc>
        <w:tc>
          <w:tcPr>
            <w:tcW w:w="5580" w:type="dxa"/>
            <w:vAlign w:val="center"/>
          </w:tcPr>
          <w:p w14:paraId="3FFD58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）无通风、防尘专项方案或未对通风量进行计算，扣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9638E2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）未进行职业危害防治措施交底，扣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2F34159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）未按规定进行氧气及瓦斯、沼气等有毒有害气体、粉尘浓度检测，或有毒有害气体浓度超限时应采取有效处理措施，扣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51C004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）通风不良，作业面风速过弱，新风量不能满足施工要求，扣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DE1F8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）破损、漏风，或吊挂不平直，扣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309E28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）爆破后未通风或通风时间少于</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分钟时有人员进洞，扣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33A2FF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）凿岩、放炮、喷射混凝土等扬尘作业未采取防尘措施，扣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27249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）作业人员在粉尘较大场所不戴防尘口罩，或在凿岩等噪声较大场所不戴防噪声护具，每人扣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29813E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）风、水、电线路未按专项施工方案要求布设，扣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3C4B6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）作业面、运输道路积水、泥泞，扣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9F1E3C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）光线不足未设置足够照明，扣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4B4D8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12</w:t>
            </w:r>
            <w:r>
              <w:rPr>
                <w:rFonts w:hint="eastAsia"/>
                <w:color w:val="000000" w:themeColor="text1"/>
                <w14:textFill>
                  <w14:solidFill>
                    <w14:schemeClr w14:val="tx1"/>
                  </w14:solidFill>
                </w14:textFill>
              </w:rPr>
              <w:t>）未按规定设置警示、通信、排水设施，扣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31C1360F">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61D46F31">
            <w:pPr>
              <w:pStyle w:val="42"/>
              <w:rPr>
                <w:color w:val="000000" w:themeColor="text1"/>
                <w14:textFill>
                  <w14:solidFill>
                    <w14:schemeClr w14:val="tx1"/>
                  </w14:solidFill>
                </w14:textFill>
              </w:rPr>
            </w:pPr>
          </w:p>
        </w:tc>
        <w:tc>
          <w:tcPr>
            <w:tcW w:w="720" w:type="dxa"/>
            <w:vAlign w:val="center"/>
          </w:tcPr>
          <w:p w14:paraId="44BE949E">
            <w:pPr>
              <w:pStyle w:val="42"/>
              <w:rPr>
                <w:color w:val="000000" w:themeColor="text1"/>
                <w14:textFill>
                  <w14:solidFill>
                    <w14:schemeClr w14:val="tx1"/>
                  </w14:solidFill>
                </w14:textFill>
              </w:rPr>
            </w:pPr>
          </w:p>
        </w:tc>
      </w:tr>
      <w:tr w14:paraId="57863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D4B3CC3">
            <w:pPr>
              <w:pStyle w:val="42"/>
              <w:rPr>
                <w:color w:val="000000" w:themeColor="text1"/>
                <w14:textFill>
                  <w14:solidFill>
                    <w14:schemeClr w14:val="tx1"/>
                  </w14:solidFill>
                </w14:textFill>
              </w:rPr>
            </w:pPr>
          </w:p>
        </w:tc>
        <w:tc>
          <w:tcPr>
            <w:tcW w:w="543" w:type="dxa"/>
            <w:vMerge w:val="continue"/>
          </w:tcPr>
          <w:p w14:paraId="62951099">
            <w:pPr>
              <w:pStyle w:val="42"/>
              <w:rPr>
                <w:color w:val="000000" w:themeColor="text1"/>
                <w14:textFill>
                  <w14:solidFill>
                    <w14:schemeClr w14:val="tx1"/>
                  </w14:solidFill>
                </w14:textFill>
              </w:rPr>
            </w:pPr>
          </w:p>
        </w:tc>
        <w:tc>
          <w:tcPr>
            <w:tcW w:w="6478" w:type="dxa"/>
            <w:gridSpan w:val="2"/>
            <w:vAlign w:val="center"/>
          </w:tcPr>
          <w:p w14:paraId="56128B3A">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39A77E2A">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07156E36">
            <w:pPr>
              <w:pStyle w:val="42"/>
              <w:rPr>
                <w:color w:val="000000" w:themeColor="text1"/>
                <w14:textFill>
                  <w14:solidFill>
                    <w14:schemeClr w14:val="tx1"/>
                  </w14:solidFill>
                </w14:textFill>
              </w:rPr>
            </w:pPr>
          </w:p>
        </w:tc>
        <w:tc>
          <w:tcPr>
            <w:tcW w:w="720" w:type="dxa"/>
            <w:vAlign w:val="center"/>
          </w:tcPr>
          <w:p w14:paraId="2A95B404">
            <w:pPr>
              <w:pStyle w:val="42"/>
              <w:rPr>
                <w:color w:val="000000" w:themeColor="text1"/>
                <w14:textFill>
                  <w14:solidFill>
                    <w14:schemeClr w14:val="tx1"/>
                  </w14:solidFill>
                </w14:textFill>
              </w:rPr>
            </w:pPr>
          </w:p>
        </w:tc>
      </w:tr>
      <w:tr w14:paraId="4410D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46ADAE2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3E70FE94">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67FCD1B9">
            <w:pPr>
              <w:pStyle w:val="42"/>
              <w:rPr>
                <w:color w:val="000000" w:themeColor="text1"/>
                <w14:textFill>
                  <w14:solidFill>
                    <w14:schemeClr w14:val="tx1"/>
                  </w14:solidFill>
                </w14:textFill>
              </w:rPr>
            </w:pPr>
          </w:p>
        </w:tc>
        <w:tc>
          <w:tcPr>
            <w:tcW w:w="720" w:type="dxa"/>
            <w:vAlign w:val="center"/>
          </w:tcPr>
          <w:p w14:paraId="345E70C5">
            <w:pPr>
              <w:pStyle w:val="42"/>
              <w:rPr>
                <w:color w:val="000000" w:themeColor="text1"/>
                <w14:textFill>
                  <w14:solidFill>
                    <w14:schemeClr w14:val="tx1"/>
                  </w14:solidFill>
                </w14:textFill>
              </w:rPr>
            </w:pPr>
          </w:p>
        </w:tc>
      </w:tr>
    </w:tbl>
    <w:p w14:paraId="2EE641FC">
      <w:pPr>
        <w:rPr>
          <w:color w:val="000000" w:themeColor="text1"/>
          <w14:textFill>
            <w14:solidFill>
              <w14:schemeClr w14:val="tx1"/>
            </w14:solidFill>
          </w14:textFill>
        </w:rPr>
      </w:pPr>
    </w:p>
    <w:p w14:paraId="15463F1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72" w:name="_Toc26521"/>
      <w:bookmarkStart w:id="73" w:name="_Toc10158"/>
      <w:bookmarkStart w:id="74" w:name="_Toc28467"/>
      <w:r>
        <w:rPr>
          <w:rFonts w:hint="eastAsia"/>
          <w:color w:val="000000" w:themeColor="text1"/>
          <w14:textFill>
            <w14:solidFill>
              <w14:schemeClr w14:val="tx1"/>
            </w14:solidFill>
          </w14:textFill>
        </w:rPr>
        <w:t>表</w:t>
      </w:r>
      <w:r>
        <w:rPr>
          <w:color w:val="000000" w:themeColor="text1"/>
          <w14:textFill>
            <w14:solidFill>
              <w14:schemeClr w14:val="tx1"/>
            </w14:solidFill>
          </w14:textFill>
        </w:rPr>
        <w:t>24</w:t>
      </w:r>
      <w:r>
        <w:rPr>
          <w:rFonts w:hint="eastAsia"/>
          <w:color w:val="000000" w:themeColor="text1"/>
          <w14:textFill>
            <w14:solidFill>
              <w14:schemeClr w14:val="tx1"/>
            </w14:solidFill>
          </w14:textFill>
        </w:rPr>
        <w:t xml:space="preserve">  盾构法</w:t>
      </w:r>
      <w:r>
        <w:rPr>
          <w:color w:val="000000" w:themeColor="text1"/>
          <w14:textFill>
            <w14:solidFill>
              <w14:schemeClr w14:val="tx1"/>
            </w14:solidFill>
          </w14:textFill>
        </w:rPr>
        <w:t>隧道</w:t>
      </w:r>
      <w:r>
        <w:rPr>
          <w:rFonts w:hint="eastAsia"/>
          <w:color w:val="000000" w:themeColor="text1"/>
          <w14:textFill>
            <w14:solidFill>
              <w14:schemeClr w14:val="tx1"/>
            </w14:solidFill>
          </w14:textFill>
        </w:rPr>
        <w:t>检查</w:t>
      </w:r>
      <w:r>
        <w:rPr>
          <w:color w:val="000000" w:themeColor="text1"/>
          <w14:textFill>
            <w14:solidFill>
              <w14:schemeClr w14:val="tx1"/>
            </w14:solidFill>
          </w14:textFill>
        </w:rPr>
        <w:t>评分表</w:t>
      </w:r>
      <w:bookmarkEnd w:id="72"/>
      <w:bookmarkEnd w:id="73"/>
      <w:bookmarkEnd w:id="74"/>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D9C8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68257AD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0CFEEB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01E0A01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2B25451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42B53DD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1FF7E908">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341EFD71">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747F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538DFED6">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849049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65512F1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49B9E88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86CB7D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4ED079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施工方案</w:t>
            </w:r>
          </w:p>
        </w:tc>
        <w:tc>
          <w:tcPr>
            <w:tcW w:w="5580" w:type="dxa"/>
            <w:vAlign w:val="center"/>
          </w:tcPr>
          <w:p w14:paraId="428EF4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7A22429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）未对重要部位、工序应制定专项方案，每项扣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87F2C2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）专项施工方案或重要部位、工序的专项方案未按规定进行审核、审批，扣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94B00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）未按规定组织专家对专项施工方案以及穿越既有设施、首次盾构开仓（换刀）、联络通道等工序的专项方案进行论证，扣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F8058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851C4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）未按规定编制现场应急预案或应急预案内容不全、针对性不强，扣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9674AB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479E64C">
            <w:pPr>
              <w:pStyle w:val="42"/>
              <w:rPr>
                <w:color w:val="000000" w:themeColor="text1"/>
                <w14:textFill>
                  <w14:solidFill>
                    <w14:schemeClr w14:val="tx1"/>
                  </w14:solidFill>
                </w14:textFill>
              </w:rPr>
            </w:pPr>
          </w:p>
        </w:tc>
        <w:tc>
          <w:tcPr>
            <w:tcW w:w="720" w:type="dxa"/>
            <w:vAlign w:val="center"/>
          </w:tcPr>
          <w:p w14:paraId="78C14ACD">
            <w:pPr>
              <w:pStyle w:val="42"/>
              <w:rPr>
                <w:color w:val="000000" w:themeColor="text1"/>
                <w14:textFill>
                  <w14:solidFill>
                    <w14:schemeClr w14:val="tx1"/>
                  </w14:solidFill>
                </w14:textFill>
              </w:rPr>
            </w:pPr>
          </w:p>
        </w:tc>
      </w:tr>
      <w:tr w14:paraId="22EF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6C0B11D3">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12AFB49">
            <w:pPr>
              <w:pStyle w:val="42"/>
              <w:rPr>
                <w:color w:val="000000" w:themeColor="text1"/>
                <w14:textFill>
                  <w14:solidFill>
                    <w14:schemeClr w14:val="tx1"/>
                  </w14:solidFill>
                </w14:textFill>
              </w:rPr>
            </w:pPr>
          </w:p>
        </w:tc>
        <w:tc>
          <w:tcPr>
            <w:tcW w:w="898" w:type="dxa"/>
            <w:vAlign w:val="center"/>
          </w:tcPr>
          <w:p w14:paraId="1A9D41F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盾构机选型与安装调试</w:t>
            </w:r>
          </w:p>
        </w:tc>
        <w:tc>
          <w:tcPr>
            <w:tcW w:w="5580" w:type="dxa"/>
            <w:vAlign w:val="center"/>
          </w:tcPr>
          <w:p w14:paraId="3C772A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）新造盾构机未组织选型论证，扣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3F6758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）改造盾构机未组织适用性验收，扣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E71DD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）盾构或其配套设备无质量合格证明文件，扣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87E177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）新造或改造盾构机未进行出厂验收，扣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56FCF93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）盾构机维修后主要系统未进行测试或检测，扣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834DFC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）安装调试完成后未组织现场验收，扣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A3BB01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）盾构机吊装过程未严格执行吊装安全专项方案和安全操作规程，扣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145BD29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F3C377E">
            <w:pPr>
              <w:pStyle w:val="42"/>
              <w:rPr>
                <w:color w:val="000000" w:themeColor="text1"/>
                <w14:textFill>
                  <w14:solidFill>
                    <w14:schemeClr w14:val="tx1"/>
                  </w14:solidFill>
                </w14:textFill>
              </w:rPr>
            </w:pPr>
          </w:p>
        </w:tc>
        <w:tc>
          <w:tcPr>
            <w:tcW w:w="720" w:type="dxa"/>
            <w:vAlign w:val="center"/>
          </w:tcPr>
          <w:p w14:paraId="199FA7E2">
            <w:pPr>
              <w:pStyle w:val="42"/>
              <w:rPr>
                <w:color w:val="000000" w:themeColor="text1"/>
                <w14:textFill>
                  <w14:solidFill>
                    <w14:schemeClr w14:val="tx1"/>
                  </w14:solidFill>
                </w14:textFill>
              </w:rPr>
            </w:pPr>
          </w:p>
        </w:tc>
      </w:tr>
      <w:tr w14:paraId="6B12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EE1B826">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693FF6AF">
            <w:pPr>
              <w:pStyle w:val="42"/>
              <w:rPr>
                <w:color w:val="000000" w:themeColor="text1"/>
                <w14:textFill>
                  <w14:solidFill>
                    <w14:schemeClr w14:val="tx1"/>
                  </w14:solidFill>
                </w14:textFill>
              </w:rPr>
            </w:pPr>
          </w:p>
        </w:tc>
        <w:tc>
          <w:tcPr>
            <w:tcW w:w="898" w:type="dxa"/>
            <w:vAlign w:val="center"/>
          </w:tcPr>
          <w:p w14:paraId="37C35D8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始发与接收</w:t>
            </w:r>
          </w:p>
        </w:tc>
        <w:tc>
          <w:tcPr>
            <w:tcW w:w="5580" w:type="dxa"/>
            <w:vAlign w:val="center"/>
          </w:tcPr>
          <w:p w14:paraId="52D6AE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）始发前未对地勘资料进行详细复核，扣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17C0368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）未按专项方案对始发与接收井端头进行加固，扣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B7E52B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）洞门凿除前未对端头加固改良后土体进行抽芯检测，扣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4C26A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）未在掌子面钻孔探测地质情况，扣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495F32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）盾构洞门未按设计要求制作洞圈（钢环）和密封装置，扣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ED074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）始发前未对盾构机姿态进行复核，扣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8A78D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）接收未对托架受力进行验算，或托架未进行安装质量及焊缝检测并确认合格，扣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CD99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）始发时未按专项施工方案对负环管片采取限位固定措施或措施不到位，扣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11E52F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）始发与接收未对管片采取限位、固定措施，或未按要求对管片螺栓进行复紧，扣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B0B686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）盾构机司机上岗前未经实际操作培训或考核不合格，扣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E301B4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70A1F3E">
            <w:pPr>
              <w:pStyle w:val="42"/>
              <w:rPr>
                <w:color w:val="000000" w:themeColor="text1"/>
                <w14:textFill>
                  <w14:solidFill>
                    <w14:schemeClr w14:val="tx1"/>
                  </w14:solidFill>
                </w14:textFill>
              </w:rPr>
            </w:pPr>
          </w:p>
        </w:tc>
        <w:tc>
          <w:tcPr>
            <w:tcW w:w="720" w:type="dxa"/>
            <w:vAlign w:val="center"/>
          </w:tcPr>
          <w:p w14:paraId="5377DB93">
            <w:pPr>
              <w:pStyle w:val="42"/>
              <w:rPr>
                <w:color w:val="000000" w:themeColor="text1"/>
                <w14:textFill>
                  <w14:solidFill>
                    <w14:schemeClr w14:val="tx1"/>
                  </w14:solidFill>
                </w14:textFill>
              </w:rPr>
            </w:pPr>
          </w:p>
        </w:tc>
      </w:tr>
      <w:tr w14:paraId="2CD82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0D9E326">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0BA15E84">
            <w:pPr>
              <w:pStyle w:val="42"/>
              <w:rPr>
                <w:color w:val="000000" w:themeColor="text1"/>
                <w14:textFill>
                  <w14:solidFill>
                    <w14:schemeClr w14:val="tx1"/>
                  </w14:solidFill>
                </w14:textFill>
              </w:rPr>
            </w:pPr>
          </w:p>
        </w:tc>
        <w:tc>
          <w:tcPr>
            <w:tcW w:w="898" w:type="dxa"/>
            <w:vAlign w:val="center"/>
          </w:tcPr>
          <w:p w14:paraId="5BE9A57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掘进施工</w:t>
            </w:r>
          </w:p>
        </w:tc>
        <w:tc>
          <w:tcPr>
            <w:tcW w:w="5580" w:type="dxa"/>
            <w:vAlign w:val="center"/>
          </w:tcPr>
          <w:p w14:paraId="476DE9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）未进行试掘进并根据结果优化掘进参数，扣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40A9EA1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）掘进参数异常、姿态异常、地面沉降超限，未采取有效纠正措施，扣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5656F58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）施工过程未详细记录掘进参数、注浆量、出土量、豆砾石填充量等，扣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D6B76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）同步注浆配比未按设计方案实施，注浆量不足、注浆不及时、注浆压力达不到要求，扣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5F7E21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）出土过量未采取有效措施，扣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574674A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）穿越既有建（构）筑物、既有轨道线路或铁路和特殊地段前未对设备和刀具进行检查，或不能满足连续掘进要求，扣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47FD0F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）长期停滞在地质软弱地层，未制定并采取防止沉降、坍塌、渗漏的措施，扣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7F0A44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）未对盾构机进行维修保养，扣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分；无维修和定期保养记录或记录不全，扣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2A172F7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）盾构机长期停用复工后未进行检查验收，扣</w:t>
            </w:r>
            <w:r>
              <w:rPr>
                <w:color w:val="000000" w:themeColor="text1"/>
                <w14:textFill>
                  <w14:solidFill>
                    <w14:schemeClr w14:val="tx1"/>
                  </w14:solidFill>
                </w14:textFill>
              </w:rPr>
              <w:t>8-10</w:t>
            </w:r>
            <w:r>
              <w:rPr>
                <w:rFonts w:hint="eastAsia"/>
                <w:color w:val="000000" w:themeColor="text1"/>
                <w14:textFill>
                  <w14:solidFill>
                    <w14:schemeClr w14:val="tx1"/>
                  </w14:solidFill>
                </w14:textFill>
              </w:rPr>
              <w:t>分</w:t>
            </w:r>
          </w:p>
        </w:tc>
        <w:tc>
          <w:tcPr>
            <w:tcW w:w="720" w:type="dxa"/>
            <w:vAlign w:val="center"/>
          </w:tcPr>
          <w:p w14:paraId="2EB0966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25001FE">
            <w:pPr>
              <w:pStyle w:val="42"/>
              <w:rPr>
                <w:color w:val="000000" w:themeColor="text1"/>
                <w14:textFill>
                  <w14:solidFill>
                    <w14:schemeClr w14:val="tx1"/>
                  </w14:solidFill>
                </w14:textFill>
              </w:rPr>
            </w:pPr>
          </w:p>
        </w:tc>
        <w:tc>
          <w:tcPr>
            <w:tcW w:w="720" w:type="dxa"/>
            <w:vAlign w:val="center"/>
          </w:tcPr>
          <w:p w14:paraId="1CB00046">
            <w:pPr>
              <w:pStyle w:val="42"/>
              <w:rPr>
                <w:color w:val="000000" w:themeColor="text1"/>
                <w14:textFill>
                  <w14:solidFill>
                    <w14:schemeClr w14:val="tx1"/>
                  </w14:solidFill>
                </w14:textFill>
              </w:rPr>
            </w:pPr>
          </w:p>
        </w:tc>
      </w:tr>
      <w:tr w14:paraId="15E4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37275A47">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3584689">
            <w:pPr>
              <w:pStyle w:val="42"/>
              <w:rPr>
                <w:color w:val="000000" w:themeColor="text1"/>
                <w14:textFill>
                  <w14:solidFill>
                    <w14:schemeClr w14:val="tx1"/>
                  </w14:solidFill>
                </w14:textFill>
              </w:rPr>
            </w:pPr>
          </w:p>
        </w:tc>
        <w:tc>
          <w:tcPr>
            <w:tcW w:w="898" w:type="dxa"/>
            <w:vAlign w:val="center"/>
          </w:tcPr>
          <w:p w14:paraId="3793E9B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开仓与刀具更换</w:t>
            </w:r>
          </w:p>
        </w:tc>
        <w:tc>
          <w:tcPr>
            <w:tcW w:w="5580" w:type="dxa"/>
            <w:vAlign w:val="center"/>
          </w:tcPr>
          <w:p w14:paraId="69D7E0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）未制定开仓操作规程，或作业人员违规操作，扣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2CBEC9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）开仓未办理审批手续，扣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分；手续签认不齐全，扣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3722C7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）进仓作业时未经气体检测合格，或未按专项方案进行地层加固，扣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A4C25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）常压开仓过程中未安排专人观察土仓内掌子面地质情况，扣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9C0BD0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）盾构气压作业人员无证作业，或未按规定配备劳动防护用品，扣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DA0AD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）盾构气压作业前未对作业人员、控制室内气压或闸门管理员进行专门的培训、教育、安全技术交底，扣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306A205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）盾构气压环境内有易燃易爆物品，扣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B00580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）气压作业用电未使用安全电压，或照明灯具无防爆措施，扣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06EF3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）盾构气压作业未采取两种不同动力空压机保证不间断供气，扣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7D82E5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）作业人员气压作业时间或加、减压时间不符合带压进仓作业规定，扣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4F2267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）气压作业区与常压作业区之间或隧道与外部无通讯设施，扣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ABEFF7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12</w:t>
            </w:r>
            <w:r>
              <w:rPr>
                <w:rFonts w:hint="eastAsia"/>
                <w:color w:val="000000" w:themeColor="text1"/>
                <w14:textFill>
                  <w14:solidFill>
                    <w14:schemeClr w14:val="tx1"/>
                  </w14:solidFill>
                </w14:textFill>
              </w:rPr>
              <w:t>）开仓作业全过程未做记录，扣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分；无开仓审批、作业时间、刀具更换等记录，每项扣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1C1AEBA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8212291">
            <w:pPr>
              <w:pStyle w:val="42"/>
              <w:rPr>
                <w:color w:val="000000" w:themeColor="text1"/>
                <w14:textFill>
                  <w14:solidFill>
                    <w14:schemeClr w14:val="tx1"/>
                  </w14:solidFill>
                </w14:textFill>
              </w:rPr>
            </w:pPr>
          </w:p>
        </w:tc>
        <w:tc>
          <w:tcPr>
            <w:tcW w:w="720" w:type="dxa"/>
            <w:vAlign w:val="center"/>
          </w:tcPr>
          <w:p w14:paraId="5522FF19">
            <w:pPr>
              <w:pStyle w:val="42"/>
              <w:rPr>
                <w:color w:val="000000" w:themeColor="text1"/>
                <w14:textFill>
                  <w14:solidFill>
                    <w14:schemeClr w14:val="tx1"/>
                  </w14:solidFill>
                </w14:textFill>
              </w:rPr>
            </w:pPr>
          </w:p>
        </w:tc>
      </w:tr>
      <w:tr w14:paraId="2E9F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4EDF058">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20459F6C">
            <w:pPr>
              <w:pStyle w:val="42"/>
              <w:rPr>
                <w:color w:val="000000" w:themeColor="text1"/>
                <w14:textFill>
                  <w14:solidFill>
                    <w14:schemeClr w14:val="tx1"/>
                  </w14:solidFill>
                </w14:textFill>
              </w:rPr>
            </w:pPr>
          </w:p>
        </w:tc>
        <w:tc>
          <w:tcPr>
            <w:tcW w:w="898" w:type="dxa"/>
            <w:vAlign w:val="center"/>
          </w:tcPr>
          <w:p w14:paraId="772DDE8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洞门及联络通道施工</w:t>
            </w:r>
          </w:p>
        </w:tc>
        <w:tc>
          <w:tcPr>
            <w:tcW w:w="5580" w:type="dxa"/>
            <w:vAlign w:val="center"/>
          </w:tcPr>
          <w:p w14:paraId="10BD2B7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）未按专项方案对通道周围地层进行加固，或未对加固改良后土体应进行抽芯检测，扣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6C4AA4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）联络通道管片拆除前未进行钻孔探测地质情况，扣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986F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）洞门、联络通道施工现场未按应急预案准备抢险物资，扣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674C0F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）负环及洞门、联络通道管片拆除未按专项方案施工，扣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2D65E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）负环及洞门、联络通道管片拆除现场未设立专人安全管理，扣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BDDB0B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）联络通道施工前后一定范围内管片未按专项方案进行支撑保护，扣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5AC456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）洞门或联络通道管片拆除后，未及时封闭，或出现渗漏、掉渣等，扣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62611C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3DFA062">
            <w:pPr>
              <w:pStyle w:val="42"/>
              <w:rPr>
                <w:color w:val="000000" w:themeColor="text1"/>
                <w14:textFill>
                  <w14:solidFill>
                    <w14:schemeClr w14:val="tx1"/>
                  </w14:solidFill>
                </w14:textFill>
              </w:rPr>
            </w:pPr>
          </w:p>
        </w:tc>
        <w:tc>
          <w:tcPr>
            <w:tcW w:w="720" w:type="dxa"/>
            <w:vAlign w:val="center"/>
          </w:tcPr>
          <w:p w14:paraId="7F40AF0E">
            <w:pPr>
              <w:pStyle w:val="42"/>
              <w:rPr>
                <w:color w:val="000000" w:themeColor="text1"/>
                <w14:textFill>
                  <w14:solidFill>
                    <w14:schemeClr w14:val="tx1"/>
                  </w14:solidFill>
                </w14:textFill>
              </w:rPr>
            </w:pPr>
          </w:p>
        </w:tc>
      </w:tr>
      <w:tr w14:paraId="2243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158E155">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007ED62F">
            <w:pPr>
              <w:pStyle w:val="42"/>
              <w:rPr>
                <w:color w:val="000000" w:themeColor="text1"/>
                <w14:textFill>
                  <w14:solidFill>
                    <w14:schemeClr w14:val="tx1"/>
                  </w14:solidFill>
                </w14:textFill>
              </w:rPr>
            </w:pPr>
          </w:p>
        </w:tc>
        <w:tc>
          <w:tcPr>
            <w:tcW w:w="898" w:type="dxa"/>
            <w:vAlign w:val="center"/>
          </w:tcPr>
          <w:p w14:paraId="2EDF054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施工监测</w:t>
            </w:r>
          </w:p>
        </w:tc>
        <w:tc>
          <w:tcPr>
            <w:tcW w:w="5580" w:type="dxa"/>
            <w:vAlign w:val="center"/>
          </w:tcPr>
          <w:p w14:paraId="329DEF0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）未编制监测方案，扣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1265C0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）方案中监测项目、监测点布置、监测方法、监测报警值不符合设计及标准要求，每项扣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33B03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）未按监测方案确定的项目对洞内收敛、管片上浮等监测项目进行监测，扣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8B79F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）未按规定对受施工影响范围内建（构）筑物、既有铁路或轨道线、重要管线和道路等进行监测，扣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98CD0A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）未按监测方案对其他项目进行监测，扣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8CD673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）未按监测方案确定的项目实施施工监测，扣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7C797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）监测点设置不符合监测方案，扣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49C4A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）监测点受破坏未及时恢复，每一测点扣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ABC1D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监测的时间间隔不符合监测方案要求或监测结果变化速率较大未加密观测次数，扣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0CA357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）未按设计及工程实际及时处理监测数据并提交监测报告或监测报告内容不完整，扣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095BC9E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）当监测值达到所规定的报警值时未按规定程序及时、有效处理，扣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24965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12</w:t>
            </w:r>
            <w:r>
              <w:rPr>
                <w:rFonts w:hint="eastAsia"/>
                <w:color w:val="000000" w:themeColor="text1"/>
                <w14:textFill>
                  <w14:solidFill>
                    <w14:schemeClr w14:val="tx1"/>
                  </w14:solidFill>
                </w14:textFill>
              </w:rPr>
              <w:t>）未进行盾构机通过后地层空洞隐患探测，每处扣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115B833C">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F89791C">
            <w:pPr>
              <w:pStyle w:val="42"/>
              <w:rPr>
                <w:color w:val="000000" w:themeColor="text1"/>
                <w14:textFill>
                  <w14:solidFill>
                    <w14:schemeClr w14:val="tx1"/>
                  </w14:solidFill>
                </w14:textFill>
              </w:rPr>
            </w:pPr>
          </w:p>
        </w:tc>
        <w:tc>
          <w:tcPr>
            <w:tcW w:w="720" w:type="dxa"/>
            <w:vAlign w:val="center"/>
          </w:tcPr>
          <w:p w14:paraId="26D427E8">
            <w:pPr>
              <w:pStyle w:val="42"/>
              <w:rPr>
                <w:color w:val="000000" w:themeColor="text1"/>
                <w14:textFill>
                  <w14:solidFill>
                    <w14:schemeClr w14:val="tx1"/>
                  </w14:solidFill>
                </w14:textFill>
              </w:rPr>
            </w:pPr>
          </w:p>
        </w:tc>
      </w:tr>
      <w:tr w14:paraId="3AD8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AC00C5B">
            <w:pPr>
              <w:pStyle w:val="42"/>
              <w:rPr>
                <w:color w:val="000000" w:themeColor="text1"/>
                <w14:textFill>
                  <w14:solidFill>
                    <w14:schemeClr w14:val="tx1"/>
                  </w14:solidFill>
                </w14:textFill>
              </w:rPr>
            </w:pPr>
          </w:p>
        </w:tc>
        <w:tc>
          <w:tcPr>
            <w:tcW w:w="543" w:type="dxa"/>
            <w:vMerge w:val="continue"/>
            <w:vAlign w:val="center"/>
          </w:tcPr>
          <w:p w14:paraId="38D95482">
            <w:pPr>
              <w:pStyle w:val="42"/>
              <w:rPr>
                <w:color w:val="000000" w:themeColor="text1"/>
                <w14:textFill>
                  <w14:solidFill>
                    <w14:schemeClr w14:val="tx1"/>
                  </w14:solidFill>
                </w14:textFill>
              </w:rPr>
            </w:pPr>
          </w:p>
        </w:tc>
        <w:tc>
          <w:tcPr>
            <w:tcW w:w="6478" w:type="dxa"/>
            <w:gridSpan w:val="2"/>
            <w:vAlign w:val="center"/>
          </w:tcPr>
          <w:p w14:paraId="005A13CA">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63F8E8AB">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66037C2E">
            <w:pPr>
              <w:pStyle w:val="42"/>
              <w:rPr>
                <w:color w:val="000000" w:themeColor="text1"/>
                <w14:textFill>
                  <w14:solidFill>
                    <w14:schemeClr w14:val="tx1"/>
                  </w14:solidFill>
                </w14:textFill>
              </w:rPr>
            </w:pPr>
          </w:p>
        </w:tc>
        <w:tc>
          <w:tcPr>
            <w:tcW w:w="720" w:type="dxa"/>
            <w:vAlign w:val="center"/>
          </w:tcPr>
          <w:p w14:paraId="07779F10">
            <w:pPr>
              <w:pStyle w:val="42"/>
              <w:rPr>
                <w:color w:val="000000" w:themeColor="text1"/>
                <w14:textFill>
                  <w14:solidFill>
                    <w14:schemeClr w14:val="tx1"/>
                  </w14:solidFill>
                </w14:textFill>
              </w:rPr>
            </w:pPr>
          </w:p>
        </w:tc>
      </w:tr>
      <w:tr w14:paraId="62ED8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2FA16931">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06CB2D9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6293416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0117327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A1519B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51A25AD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管片堆放与拼装</w:t>
            </w:r>
          </w:p>
        </w:tc>
        <w:tc>
          <w:tcPr>
            <w:tcW w:w="5580" w:type="dxa"/>
            <w:vAlign w:val="center"/>
          </w:tcPr>
          <w:p w14:paraId="56BEA1B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）管片堆放场地达不到坚实、平整要求或排水不畅通，扣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2E3D4D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）管片堆放场地的通道不通畅，扣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2E05A0B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）管片堆放超高、堆放纵横间距、支撑垫块等不符合专项方案及标准要求，扣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770DE0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）拼装机旋转时，旋转范围有人或障碍物，扣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3505842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）管片吊运、拼装过程中连接不牢或无防滑脱装置，扣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1B3E73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）管片翻转、吊运、拼装设备无定期保养记录，或带病作业，扣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tc>
        <w:tc>
          <w:tcPr>
            <w:tcW w:w="720" w:type="dxa"/>
            <w:vAlign w:val="center"/>
          </w:tcPr>
          <w:p w14:paraId="1153DA6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EC8EE1A">
            <w:pPr>
              <w:pStyle w:val="42"/>
              <w:rPr>
                <w:color w:val="000000" w:themeColor="text1"/>
                <w14:textFill>
                  <w14:solidFill>
                    <w14:schemeClr w14:val="tx1"/>
                  </w14:solidFill>
                </w14:textFill>
              </w:rPr>
            </w:pPr>
          </w:p>
        </w:tc>
        <w:tc>
          <w:tcPr>
            <w:tcW w:w="720" w:type="dxa"/>
            <w:vAlign w:val="center"/>
          </w:tcPr>
          <w:p w14:paraId="45FDBCDA">
            <w:pPr>
              <w:pStyle w:val="42"/>
              <w:rPr>
                <w:color w:val="000000" w:themeColor="text1"/>
                <w14:textFill>
                  <w14:solidFill>
                    <w14:schemeClr w14:val="tx1"/>
                  </w14:solidFill>
                </w14:textFill>
              </w:rPr>
            </w:pPr>
          </w:p>
        </w:tc>
      </w:tr>
      <w:tr w14:paraId="0DC7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02DF7BF">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5CB8096">
            <w:pPr>
              <w:pStyle w:val="42"/>
              <w:rPr>
                <w:color w:val="000000" w:themeColor="text1"/>
                <w14:textFill>
                  <w14:solidFill>
                    <w14:schemeClr w14:val="tx1"/>
                  </w14:solidFill>
                </w14:textFill>
              </w:rPr>
            </w:pPr>
          </w:p>
        </w:tc>
        <w:tc>
          <w:tcPr>
            <w:tcW w:w="898" w:type="dxa"/>
            <w:vAlign w:val="center"/>
          </w:tcPr>
          <w:p w14:paraId="4A4C966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隧道施工运输</w:t>
            </w:r>
          </w:p>
        </w:tc>
        <w:tc>
          <w:tcPr>
            <w:tcW w:w="5580" w:type="dxa"/>
            <w:vAlign w:val="center"/>
          </w:tcPr>
          <w:p w14:paraId="064B4AB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）运输设备无产品合格证，扣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482B0D9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）运输设备牵引力未进行计算，或不满足最大纵坡和载重要求，扣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2EC8F0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）车辆停驶时未采取防溜车措施，扣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0BBA9A6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）车辆安全、警示装置或动力、制动功能等存在故障，带病行驶，扣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30A9B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）车辆超速行驶或隧道内无限速标志，扣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67371E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）平板车搭载人，扣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DD286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）车辆连接不可靠或无保险链，扣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463985D">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车辆超载、超限，扣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B48B2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）轨道端头无车挡，扣</w:t>
            </w:r>
            <w:r>
              <w:rPr>
                <w:color w:val="000000" w:themeColor="text1"/>
                <w14:textFill>
                  <w14:solidFill>
                    <w14:schemeClr w14:val="tx1"/>
                  </w14:solidFill>
                </w14:textFill>
              </w:rPr>
              <w:t>6-8</w:t>
            </w:r>
            <w:r>
              <w:rPr>
                <w:rFonts w:hint="eastAsia"/>
                <w:color w:val="000000" w:themeColor="text1"/>
                <w14:textFill>
                  <w14:solidFill>
                    <w14:schemeClr w14:val="tx1"/>
                  </w14:solidFill>
                </w14:textFill>
              </w:rPr>
              <w:t>分</w:t>
            </w:r>
          </w:p>
          <w:p w14:paraId="5A6B443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）无联络信号或联络信号不合理、不准确，扣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D02F5C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）隧道内存在堆积物料、积泥（水）等影响车辆通行，扣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56E4884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）车辆无日常检修保养记录，扣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3375554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12</w:t>
            </w:r>
            <w:r>
              <w:rPr>
                <w:rFonts w:hint="eastAsia"/>
                <w:color w:val="000000" w:themeColor="text1"/>
                <w14:textFill>
                  <w14:solidFill>
                    <w14:schemeClr w14:val="tx1"/>
                  </w14:solidFill>
                </w14:textFill>
              </w:rPr>
              <w:t>）未采取人车分行措施，或行车区域内施工作业未采取有效安全防护措施，扣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FA04BD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2DF6238">
            <w:pPr>
              <w:pStyle w:val="42"/>
              <w:rPr>
                <w:color w:val="000000" w:themeColor="text1"/>
                <w14:textFill>
                  <w14:solidFill>
                    <w14:schemeClr w14:val="tx1"/>
                  </w14:solidFill>
                </w14:textFill>
              </w:rPr>
            </w:pPr>
          </w:p>
        </w:tc>
        <w:tc>
          <w:tcPr>
            <w:tcW w:w="720" w:type="dxa"/>
            <w:vAlign w:val="center"/>
          </w:tcPr>
          <w:p w14:paraId="20A86578">
            <w:pPr>
              <w:pStyle w:val="42"/>
              <w:rPr>
                <w:color w:val="000000" w:themeColor="text1"/>
                <w14:textFill>
                  <w14:solidFill>
                    <w14:schemeClr w14:val="tx1"/>
                  </w14:solidFill>
                </w14:textFill>
              </w:rPr>
            </w:pPr>
          </w:p>
        </w:tc>
      </w:tr>
      <w:tr w14:paraId="3F21B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7499107">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3F703AD1">
            <w:pPr>
              <w:pStyle w:val="42"/>
              <w:rPr>
                <w:color w:val="000000" w:themeColor="text1"/>
                <w14:textFill>
                  <w14:solidFill>
                    <w14:schemeClr w14:val="tx1"/>
                  </w14:solidFill>
                </w14:textFill>
              </w:rPr>
            </w:pPr>
          </w:p>
        </w:tc>
        <w:tc>
          <w:tcPr>
            <w:tcW w:w="898" w:type="dxa"/>
            <w:vAlign w:val="center"/>
          </w:tcPr>
          <w:p w14:paraId="3B18B07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安全防护与</w:t>
            </w:r>
          </w:p>
          <w:p w14:paraId="52A64CA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保护措施</w:t>
            </w:r>
          </w:p>
        </w:tc>
        <w:tc>
          <w:tcPr>
            <w:tcW w:w="5580" w:type="dxa"/>
            <w:vAlign w:val="center"/>
          </w:tcPr>
          <w:p w14:paraId="4D5A47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）无通风、防尘专项方案或未对通风量进行计算，扣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EBCB6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）未进行职业危害防治措施交底，扣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5288C3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）未按规定进行氧气及瓦斯、沼气等有毒有害气体、粉尘浓度检测，或有毒有害气体浓度超限时应采取有效处理措施，扣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928C8A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）通风不良，作业面风速过弱，新风量不能满足施工要求，扣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A04448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）破损、漏风，或吊挂不平直，扣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7EF1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）风、水、电线路未按专项施工方案要求布设，扣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27928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）光线不足未设置足够照明，扣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6BF83D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）未按规定设置警示、通信、排水设施及消防器材，扣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399AF1B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）压力软管耐压强度不符合设计要求，或布置于作业区及人行道范围的压力软管未采取防脱、限位措施，扣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AB313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）竖井人员上下未设置登高扶梯，扣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分；扶梯未按规定设置栏杆和扶手，扣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73B2758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DF3DC2C">
            <w:pPr>
              <w:pStyle w:val="42"/>
              <w:rPr>
                <w:color w:val="000000" w:themeColor="text1"/>
                <w14:textFill>
                  <w14:solidFill>
                    <w14:schemeClr w14:val="tx1"/>
                  </w14:solidFill>
                </w14:textFill>
              </w:rPr>
            </w:pPr>
          </w:p>
        </w:tc>
        <w:tc>
          <w:tcPr>
            <w:tcW w:w="720" w:type="dxa"/>
            <w:vAlign w:val="center"/>
          </w:tcPr>
          <w:p w14:paraId="0B880DD8">
            <w:pPr>
              <w:pStyle w:val="42"/>
              <w:rPr>
                <w:color w:val="000000" w:themeColor="text1"/>
                <w14:textFill>
                  <w14:solidFill>
                    <w14:schemeClr w14:val="tx1"/>
                  </w14:solidFill>
                </w14:textFill>
              </w:rPr>
            </w:pPr>
          </w:p>
        </w:tc>
      </w:tr>
      <w:tr w14:paraId="4D83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694E46A">
            <w:pPr>
              <w:pStyle w:val="42"/>
              <w:rPr>
                <w:color w:val="000000" w:themeColor="text1"/>
                <w14:textFill>
                  <w14:solidFill>
                    <w14:schemeClr w14:val="tx1"/>
                  </w14:solidFill>
                </w14:textFill>
              </w:rPr>
            </w:pPr>
          </w:p>
        </w:tc>
        <w:tc>
          <w:tcPr>
            <w:tcW w:w="543" w:type="dxa"/>
            <w:vMerge w:val="continue"/>
          </w:tcPr>
          <w:p w14:paraId="41BBB078">
            <w:pPr>
              <w:pStyle w:val="42"/>
              <w:rPr>
                <w:color w:val="000000" w:themeColor="text1"/>
                <w14:textFill>
                  <w14:solidFill>
                    <w14:schemeClr w14:val="tx1"/>
                  </w14:solidFill>
                </w14:textFill>
              </w:rPr>
            </w:pPr>
          </w:p>
        </w:tc>
        <w:tc>
          <w:tcPr>
            <w:tcW w:w="6478" w:type="dxa"/>
            <w:gridSpan w:val="2"/>
            <w:vAlign w:val="center"/>
          </w:tcPr>
          <w:p w14:paraId="24BEA68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2B229B63">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4C8DC54A">
            <w:pPr>
              <w:pStyle w:val="42"/>
              <w:rPr>
                <w:color w:val="000000" w:themeColor="text1"/>
                <w14:textFill>
                  <w14:solidFill>
                    <w14:schemeClr w14:val="tx1"/>
                  </w14:solidFill>
                </w14:textFill>
              </w:rPr>
            </w:pPr>
          </w:p>
        </w:tc>
        <w:tc>
          <w:tcPr>
            <w:tcW w:w="720" w:type="dxa"/>
            <w:vAlign w:val="center"/>
          </w:tcPr>
          <w:p w14:paraId="2ABEA08D">
            <w:pPr>
              <w:pStyle w:val="42"/>
              <w:rPr>
                <w:color w:val="000000" w:themeColor="text1"/>
                <w14:textFill>
                  <w14:solidFill>
                    <w14:schemeClr w14:val="tx1"/>
                  </w14:solidFill>
                </w14:textFill>
              </w:rPr>
            </w:pPr>
          </w:p>
        </w:tc>
      </w:tr>
      <w:tr w14:paraId="2E7E9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16FFBFE0">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57D43307">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2EE2AFBE">
            <w:pPr>
              <w:pStyle w:val="42"/>
              <w:rPr>
                <w:color w:val="000000" w:themeColor="text1"/>
                <w14:textFill>
                  <w14:solidFill>
                    <w14:schemeClr w14:val="tx1"/>
                  </w14:solidFill>
                </w14:textFill>
              </w:rPr>
            </w:pPr>
          </w:p>
        </w:tc>
        <w:tc>
          <w:tcPr>
            <w:tcW w:w="720" w:type="dxa"/>
            <w:vAlign w:val="center"/>
          </w:tcPr>
          <w:p w14:paraId="7C2AB02D">
            <w:pPr>
              <w:pStyle w:val="42"/>
              <w:rPr>
                <w:color w:val="000000" w:themeColor="text1"/>
                <w14:textFill>
                  <w14:solidFill>
                    <w14:schemeClr w14:val="tx1"/>
                  </w14:solidFill>
                </w14:textFill>
              </w:rPr>
            </w:pPr>
          </w:p>
        </w:tc>
      </w:tr>
    </w:tbl>
    <w:p w14:paraId="4440317B">
      <w:pPr>
        <w:rPr>
          <w:color w:val="000000" w:themeColor="text1"/>
          <w14:textFill>
            <w14:solidFill>
              <w14:schemeClr w14:val="tx1"/>
            </w14:solidFill>
          </w14:textFill>
        </w:rPr>
      </w:pPr>
    </w:p>
    <w:p w14:paraId="63B828F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75" w:name="_Toc9489"/>
      <w:bookmarkStart w:id="76" w:name="_Toc9193"/>
      <w:bookmarkStart w:id="77" w:name="_Toc15999"/>
      <w:r>
        <w:rPr>
          <w:rFonts w:hint="eastAsia"/>
          <w:color w:val="000000" w:themeColor="text1"/>
          <w14:textFill>
            <w14:solidFill>
              <w14:schemeClr w14:val="tx1"/>
            </w14:solidFill>
          </w14:textFill>
        </w:rPr>
        <w:t>表</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5  顶管检查</w:t>
      </w:r>
      <w:r>
        <w:rPr>
          <w:color w:val="000000" w:themeColor="text1"/>
          <w14:textFill>
            <w14:solidFill>
              <w14:schemeClr w14:val="tx1"/>
            </w14:solidFill>
          </w14:textFill>
        </w:rPr>
        <w:t>评分表</w:t>
      </w:r>
      <w:bookmarkEnd w:id="75"/>
      <w:bookmarkEnd w:id="76"/>
      <w:bookmarkEnd w:id="77"/>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64"/>
        <w:gridCol w:w="736"/>
        <w:gridCol w:w="720"/>
        <w:gridCol w:w="720"/>
      </w:tblGrid>
      <w:tr w14:paraId="25AC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4D2EA1E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378FEDF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64" w:type="dxa"/>
            <w:vAlign w:val="center"/>
          </w:tcPr>
          <w:p w14:paraId="454E48E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36" w:type="dxa"/>
            <w:vAlign w:val="center"/>
          </w:tcPr>
          <w:p w14:paraId="1DD130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3A5E617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15175BAE">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66DC5EE9">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48A6F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30E03399">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6CE564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1819F0E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4C5C7DB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433E5FD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45F9C7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专项方案</w:t>
            </w:r>
          </w:p>
        </w:tc>
        <w:tc>
          <w:tcPr>
            <w:tcW w:w="5564" w:type="dxa"/>
            <w:vAlign w:val="center"/>
          </w:tcPr>
          <w:p w14:paraId="1AED61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3F9427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C52CA9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EEBA01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36" w:type="dxa"/>
            <w:vAlign w:val="center"/>
          </w:tcPr>
          <w:p w14:paraId="1910F7C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1B1EBF5">
            <w:pPr>
              <w:pStyle w:val="42"/>
              <w:rPr>
                <w:color w:val="000000" w:themeColor="text1"/>
                <w14:textFill>
                  <w14:solidFill>
                    <w14:schemeClr w14:val="tx1"/>
                  </w14:solidFill>
                </w14:textFill>
              </w:rPr>
            </w:pPr>
          </w:p>
        </w:tc>
        <w:tc>
          <w:tcPr>
            <w:tcW w:w="720" w:type="dxa"/>
            <w:vAlign w:val="center"/>
          </w:tcPr>
          <w:p w14:paraId="4D468E29">
            <w:pPr>
              <w:pStyle w:val="42"/>
              <w:rPr>
                <w:color w:val="000000" w:themeColor="text1"/>
                <w14:textFill>
                  <w14:solidFill>
                    <w14:schemeClr w14:val="tx1"/>
                  </w14:solidFill>
                </w14:textFill>
              </w:rPr>
            </w:pPr>
          </w:p>
        </w:tc>
      </w:tr>
      <w:tr w14:paraId="2E7D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3B35967F">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2E64AAA">
            <w:pPr>
              <w:pStyle w:val="42"/>
              <w:rPr>
                <w:color w:val="000000" w:themeColor="text1"/>
                <w14:textFill>
                  <w14:solidFill>
                    <w14:schemeClr w14:val="tx1"/>
                  </w14:solidFill>
                </w14:textFill>
              </w:rPr>
            </w:pPr>
          </w:p>
        </w:tc>
        <w:tc>
          <w:tcPr>
            <w:tcW w:w="898" w:type="dxa"/>
            <w:vAlign w:val="center"/>
          </w:tcPr>
          <w:p w14:paraId="2A5B7F7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顶管设备</w:t>
            </w:r>
          </w:p>
        </w:tc>
        <w:tc>
          <w:tcPr>
            <w:tcW w:w="5564" w:type="dxa"/>
            <w:vAlign w:val="center"/>
          </w:tcPr>
          <w:p w14:paraId="41614D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）进场的顶管设备、配套设备和辅助系统无产品合格证、安装使用说明书，扣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9D64C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）顶管设备的型号与管道的型号或水文地质条件不匹配，扣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8BAD0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）设备安装完毕后未进行试车直接进行顶进作业，扣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65A1CF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）顶管设备安装、拆卸未按操作规程进行，扣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2F9A08D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）设备、装置在使用中未按规定定期检查、维修和保养，扣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tc>
        <w:tc>
          <w:tcPr>
            <w:tcW w:w="736" w:type="dxa"/>
            <w:vAlign w:val="center"/>
          </w:tcPr>
          <w:p w14:paraId="001D3FB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FCBE936">
            <w:pPr>
              <w:pStyle w:val="42"/>
              <w:rPr>
                <w:color w:val="000000" w:themeColor="text1"/>
                <w14:textFill>
                  <w14:solidFill>
                    <w14:schemeClr w14:val="tx1"/>
                  </w14:solidFill>
                </w14:textFill>
              </w:rPr>
            </w:pPr>
          </w:p>
        </w:tc>
        <w:tc>
          <w:tcPr>
            <w:tcW w:w="720" w:type="dxa"/>
            <w:vAlign w:val="center"/>
          </w:tcPr>
          <w:p w14:paraId="7DC6977A">
            <w:pPr>
              <w:pStyle w:val="42"/>
              <w:rPr>
                <w:color w:val="000000" w:themeColor="text1"/>
                <w14:textFill>
                  <w14:solidFill>
                    <w14:schemeClr w14:val="tx1"/>
                  </w14:solidFill>
                </w14:textFill>
              </w:rPr>
            </w:pPr>
          </w:p>
        </w:tc>
      </w:tr>
      <w:tr w14:paraId="06D72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92B84DA">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07834FCC">
            <w:pPr>
              <w:pStyle w:val="42"/>
              <w:rPr>
                <w:color w:val="000000" w:themeColor="text1"/>
                <w14:textFill>
                  <w14:solidFill>
                    <w14:schemeClr w14:val="tx1"/>
                  </w14:solidFill>
                </w14:textFill>
              </w:rPr>
            </w:pPr>
          </w:p>
        </w:tc>
        <w:tc>
          <w:tcPr>
            <w:tcW w:w="898" w:type="dxa"/>
            <w:vAlign w:val="center"/>
          </w:tcPr>
          <w:p w14:paraId="78C7745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起重吊装</w:t>
            </w:r>
          </w:p>
        </w:tc>
        <w:tc>
          <w:tcPr>
            <w:tcW w:w="5564" w:type="dxa"/>
            <w:vAlign w:val="center"/>
          </w:tcPr>
          <w:p w14:paraId="233D9BB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）起重机械设备无制造许可证、产品合格证、备案证明和安装使用说明书，扣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1788B2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）起重设备使用前未按规定进行验收，或未办理起重机械使用登记，扣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0E0A81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）起重设备的安全装置不齐全或不灵敏可靠，扣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28F6B88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）起重机械的钢丝绳、卷筒、滑轮欠完好，扣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6D9D1CE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）起重作业前未进行试吊，扣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02DE1D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）下管时未穿保险钢丝绳，扣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A5373F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）起重机械与架空线路安全距离不符合标准要求，扣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208D1C4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）起重机械操作人员未取得特种作业资格证书，扣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553A1D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）起重机械超负荷使用，扣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28ED7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）起重臂及吊物下有人员作业、停留或通行，扣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36" w:type="dxa"/>
            <w:vAlign w:val="center"/>
          </w:tcPr>
          <w:p w14:paraId="20D87CA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70BF148">
            <w:pPr>
              <w:pStyle w:val="42"/>
              <w:rPr>
                <w:color w:val="000000" w:themeColor="text1"/>
                <w14:textFill>
                  <w14:solidFill>
                    <w14:schemeClr w14:val="tx1"/>
                  </w14:solidFill>
                </w14:textFill>
              </w:rPr>
            </w:pPr>
          </w:p>
        </w:tc>
        <w:tc>
          <w:tcPr>
            <w:tcW w:w="720" w:type="dxa"/>
            <w:vAlign w:val="center"/>
          </w:tcPr>
          <w:p w14:paraId="356D74FC">
            <w:pPr>
              <w:pStyle w:val="42"/>
              <w:rPr>
                <w:color w:val="000000" w:themeColor="text1"/>
                <w14:textFill>
                  <w14:solidFill>
                    <w14:schemeClr w14:val="tx1"/>
                  </w14:solidFill>
                </w14:textFill>
              </w:rPr>
            </w:pPr>
          </w:p>
        </w:tc>
      </w:tr>
      <w:tr w14:paraId="5EA0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3EBC8FF">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2CA6CE67">
            <w:pPr>
              <w:pStyle w:val="42"/>
              <w:rPr>
                <w:color w:val="000000" w:themeColor="text1"/>
                <w14:textFill>
                  <w14:solidFill>
                    <w14:schemeClr w14:val="tx1"/>
                  </w14:solidFill>
                </w14:textFill>
              </w:rPr>
            </w:pPr>
          </w:p>
        </w:tc>
        <w:tc>
          <w:tcPr>
            <w:tcW w:w="898" w:type="dxa"/>
            <w:vAlign w:val="center"/>
          </w:tcPr>
          <w:p w14:paraId="6488B9A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工作井</w:t>
            </w:r>
          </w:p>
        </w:tc>
        <w:tc>
          <w:tcPr>
            <w:tcW w:w="5564" w:type="dxa"/>
            <w:vAlign w:val="center"/>
          </w:tcPr>
          <w:p w14:paraId="088ED0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）工作井结构不符合设计和专项施工方案的要求，或不满足井壁支护及承受顶管推进后座力的要求，扣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2BCEF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）单向顶管的始发井未设置在下游一侧，扣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7CBFA2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）工作井施工未遵循“开槽支撑、先撑后挖、分层开挖、严禁超挖”的原则，扣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206082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）工作井周边堆载超过支护设计允许范围，或机械设备施工与井边的安全距离不符合设计要求，扣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22683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）后背墙的尺寸、材料、构造不符合设计和专项施工方案的规定，或其强度和刚度不满足顶管最大允许顶力和设计要求，扣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6C972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）后背墙平面与掘进轴线不垂直，或表面不平整坚实，扣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32A602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）进出洞口的土体未按设计和专项施工方案的要求进行加固处理</w:t>
            </w:r>
          </w:p>
        </w:tc>
        <w:tc>
          <w:tcPr>
            <w:tcW w:w="736" w:type="dxa"/>
            <w:vAlign w:val="center"/>
          </w:tcPr>
          <w:p w14:paraId="63D7E51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90261CD">
            <w:pPr>
              <w:pStyle w:val="42"/>
              <w:rPr>
                <w:color w:val="000000" w:themeColor="text1"/>
                <w14:textFill>
                  <w14:solidFill>
                    <w14:schemeClr w14:val="tx1"/>
                  </w14:solidFill>
                </w14:textFill>
              </w:rPr>
            </w:pPr>
          </w:p>
        </w:tc>
        <w:tc>
          <w:tcPr>
            <w:tcW w:w="720" w:type="dxa"/>
            <w:vAlign w:val="center"/>
          </w:tcPr>
          <w:p w14:paraId="2E0AAC07">
            <w:pPr>
              <w:pStyle w:val="42"/>
              <w:rPr>
                <w:color w:val="000000" w:themeColor="text1"/>
                <w14:textFill>
                  <w14:solidFill>
                    <w14:schemeClr w14:val="tx1"/>
                  </w14:solidFill>
                </w14:textFill>
              </w:rPr>
            </w:pPr>
          </w:p>
        </w:tc>
      </w:tr>
      <w:tr w14:paraId="18212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5C05427D">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060B619A">
            <w:pPr>
              <w:pStyle w:val="42"/>
              <w:rPr>
                <w:color w:val="000000" w:themeColor="text1"/>
                <w14:textFill>
                  <w14:solidFill>
                    <w14:schemeClr w14:val="tx1"/>
                  </w14:solidFill>
                </w14:textFill>
              </w:rPr>
            </w:pPr>
          </w:p>
        </w:tc>
        <w:tc>
          <w:tcPr>
            <w:tcW w:w="898" w:type="dxa"/>
            <w:vAlign w:val="center"/>
          </w:tcPr>
          <w:p w14:paraId="76FA576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顶进</w:t>
            </w:r>
          </w:p>
        </w:tc>
        <w:tc>
          <w:tcPr>
            <w:tcW w:w="5564" w:type="dxa"/>
            <w:vAlign w:val="center"/>
          </w:tcPr>
          <w:p w14:paraId="22C1576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）顶管施工前未对施工沿线的建（构）筑物、地下管线和地下障碍物的情况进行踏勘；扣</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分</w:t>
            </w:r>
          </w:p>
          <w:p w14:paraId="2139C5E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）施工前未对后背土体进行允许抗力验算或验算不满足要求时未对后背土体采取有效加固措施，扣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7CAC3E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）顶进装置安装轴线与管道轴线不平行或不对称，扣</w:t>
            </w:r>
            <w:r>
              <w:rPr>
                <w:color w:val="000000" w:themeColor="text1"/>
                <w14:textFill>
                  <w14:solidFill>
                    <w14:schemeClr w14:val="tx1"/>
                  </w14:solidFill>
                </w14:textFill>
              </w:rPr>
              <w:t>10-20</w:t>
            </w:r>
            <w:r>
              <w:rPr>
                <w:rFonts w:hint="eastAsia"/>
                <w:color w:val="000000" w:themeColor="text1"/>
                <w14:textFill>
                  <w14:solidFill>
                    <w14:schemeClr w14:val="tx1"/>
                  </w14:solidFill>
                </w14:textFill>
              </w:rPr>
              <w:t>分</w:t>
            </w:r>
          </w:p>
          <w:p w14:paraId="7E23E7E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）顶铁在导轨上滑动不平稳或有阻滞现象，扣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B80C3D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）顶进作业时作业人员停留在顶铁上方及侧面等危险区域，扣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79504FD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）千斤顶和油表未配套使用或混用，扣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79FE72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）顶进中发现油压突然增高未及时停止施工，扣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CEE21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）千斤顶活塞退回时油压过大，速度过快，扣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16427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）手掘式顶管时，挖土人员走出工具管前面进行作业，扣</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分</w:t>
            </w:r>
          </w:p>
          <w:p w14:paraId="75C595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）一次顶进距离大于</w:t>
            </w:r>
            <w:r>
              <w:rPr>
                <w:color w:val="000000" w:themeColor="text1"/>
                <w14:textFill>
                  <w14:solidFill>
                    <w14:schemeClr w14:val="tx1"/>
                  </w14:solidFill>
                </w14:textFill>
              </w:rPr>
              <w:t>100m</w:t>
            </w:r>
            <w:r>
              <w:rPr>
                <w:rFonts w:hint="eastAsia"/>
                <w:color w:val="000000" w:themeColor="text1"/>
                <w14:textFill>
                  <w14:solidFill>
                    <w14:schemeClr w14:val="tx1"/>
                  </w14:solidFill>
                </w14:textFill>
              </w:rPr>
              <w:t>时，未采用中继间技术，扣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25E6A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）顶管作业未建立交接班制度或记录不完整，扣</w:t>
            </w:r>
            <w:r>
              <w:rPr>
                <w:color w:val="000000" w:themeColor="text1"/>
                <w14:textFill>
                  <w14:solidFill>
                    <w14:schemeClr w14:val="tx1"/>
                  </w14:solidFill>
                </w14:textFill>
              </w:rPr>
              <w:t>3-6</w:t>
            </w:r>
            <w:r>
              <w:rPr>
                <w:rFonts w:hint="eastAsia"/>
                <w:color w:val="000000" w:themeColor="text1"/>
                <w14:textFill>
                  <w14:solidFill>
                    <w14:schemeClr w14:val="tx1"/>
                  </w14:solidFill>
                </w14:textFill>
              </w:rPr>
              <w:t>分</w:t>
            </w:r>
          </w:p>
        </w:tc>
        <w:tc>
          <w:tcPr>
            <w:tcW w:w="736" w:type="dxa"/>
            <w:vAlign w:val="center"/>
          </w:tcPr>
          <w:p w14:paraId="246901F8">
            <w:pPr>
              <w:pStyle w:val="42"/>
              <w:rPr>
                <w:color w:val="000000" w:themeColor="text1"/>
                <w14:textFill>
                  <w14:solidFill>
                    <w14:schemeClr w14:val="tx1"/>
                  </w14:solidFill>
                </w14:textFill>
              </w:rPr>
            </w:pPr>
            <w:r>
              <w:rPr>
                <w:color w:val="000000" w:themeColor="text1"/>
                <w14:textFill>
                  <w14:solidFill>
                    <w14:schemeClr w14:val="tx1"/>
                  </w14:solidFill>
                </w14:textFill>
              </w:rPr>
              <w:t>20</w:t>
            </w:r>
          </w:p>
        </w:tc>
        <w:tc>
          <w:tcPr>
            <w:tcW w:w="720" w:type="dxa"/>
            <w:vAlign w:val="center"/>
          </w:tcPr>
          <w:p w14:paraId="23778891">
            <w:pPr>
              <w:pStyle w:val="42"/>
              <w:rPr>
                <w:color w:val="000000" w:themeColor="text1"/>
                <w14:textFill>
                  <w14:solidFill>
                    <w14:schemeClr w14:val="tx1"/>
                  </w14:solidFill>
                </w14:textFill>
              </w:rPr>
            </w:pPr>
          </w:p>
        </w:tc>
        <w:tc>
          <w:tcPr>
            <w:tcW w:w="720" w:type="dxa"/>
            <w:vAlign w:val="center"/>
          </w:tcPr>
          <w:p w14:paraId="07EE9310">
            <w:pPr>
              <w:pStyle w:val="42"/>
              <w:rPr>
                <w:color w:val="000000" w:themeColor="text1"/>
                <w14:textFill>
                  <w14:solidFill>
                    <w14:schemeClr w14:val="tx1"/>
                  </w14:solidFill>
                </w14:textFill>
              </w:rPr>
            </w:pPr>
          </w:p>
        </w:tc>
      </w:tr>
      <w:tr w14:paraId="01EB4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7A6D54E3">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268B77A3">
            <w:pPr>
              <w:pStyle w:val="42"/>
              <w:rPr>
                <w:color w:val="000000" w:themeColor="text1"/>
                <w14:textFill>
                  <w14:solidFill>
                    <w14:schemeClr w14:val="tx1"/>
                  </w14:solidFill>
                </w14:textFill>
              </w:rPr>
            </w:pPr>
          </w:p>
        </w:tc>
        <w:tc>
          <w:tcPr>
            <w:tcW w:w="898" w:type="dxa"/>
            <w:vAlign w:val="center"/>
          </w:tcPr>
          <w:p w14:paraId="7CD8F1C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施工监测</w:t>
            </w:r>
          </w:p>
        </w:tc>
        <w:tc>
          <w:tcPr>
            <w:tcW w:w="5564" w:type="dxa"/>
            <w:vAlign w:val="center"/>
          </w:tcPr>
          <w:p w14:paraId="468AD5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）未按要求进行顶管施工监测，扣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6B457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）监测项目不全，扣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502C1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）监测的时间间隔不符合监测方案要求或监测结果变化速率较大未加密观测次数，扣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3E40516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）未提交监测报告或监测报告内容不完整，扣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5D9374F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）当监测值大于所规定的报警值时未停止施工，查明原因，采取补救措施，扣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36" w:type="dxa"/>
            <w:vAlign w:val="center"/>
          </w:tcPr>
          <w:p w14:paraId="2A2BF9E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1A3F10E">
            <w:pPr>
              <w:pStyle w:val="42"/>
              <w:rPr>
                <w:color w:val="000000" w:themeColor="text1"/>
                <w14:textFill>
                  <w14:solidFill>
                    <w14:schemeClr w14:val="tx1"/>
                  </w14:solidFill>
                </w14:textFill>
              </w:rPr>
            </w:pPr>
          </w:p>
        </w:tc>
        <w:tc>
          <w:tcPr>
            <w:tcW w:w="720" w:type="dxa"/>
            <w:vAlign w:val="center"/>
          </w:tcPr>
          <w:p w14:paraId="16EC0BE6">
            <w:pPr>
              <w:pStyle w:val="42"/>
              <w:rPr>
                <w:color w:val="000000" w:themeColor="text1"/>
                <w14:textFill>
                  <w14:solidFill>
                    <w14:schemeClr w14:val="tx1"/>
                  </w14:solidFill>
                </w14:textFill>
              </w:rPr>
            </w:pPr>
          </w:p>
        </w:tc>
      </w:tr>
      <w:tr w14:paraId="5E58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5A06DDC">
            <w:pPr>
              <w:pStyle w:val="42"/>
              <w:rPr>
                <w:color w:val="000000" w:themeColor="text1"/>
                <w14:textFill>
                  <w14:solidFill>
                    <w14:schemeClr w14:val="tx1"/>
                  </w14:solidFill>
                </w14:textFill>
              </w:rPr>
            </w:pPr>
          </w:p>
        </w:tc>
        <w:tc>
          <w:tcPr>
            <w:tcW w:w="543" w:type="dxa"/>
            <w:vMerge w:val="continue"/>
            <w:vAlign w:val="center"/>
          </w:tcPr>
          <w:p w14:paraId="75B2D1A4">
            <w:pPr>
              <w:pStyle w:val="42"/>
              <w:rPr>
                <w:color w:val="000000" w:themeColor="text1"/>
                <w14:textFill>
                  <w14:solidFill>
                    <w14:schemeClr w14:val="tx1"/>
                  </w14:solidFill>
                </w14:textFill>
              </w:rPr>
            </w:pPr>
          </w:p>
        </w:tc>
        <w:tc>
          <w:tcPr>
            <w:tcW w:w="6462" w:type="dxa"/>
            <w:gridSpan w:val="2"/>
            <w:vAlign w:val="center"/>
          </w:tcPr>
          <w:p w14:paraId="15860B1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36" w:type="dxa"/>
            <w:vAlign w:val="center"/>
          </w:tcPr>
          <w:p w14:paraId="64E156F5">
            <w:pPr>
              <w:pStyle w:val="42"/>
              <w:rPr>
                <w:color w:val="000000" w:themeColor="text1"/>
                <w14:textFill>
                  <w14:solidFill>
                    <w14:schemeClr w14:val="tx1"/>
                  </w14:solidFill>
                </w14:textFill>
              </w:rPr>
            </w:pPr>
          </w:p>
        </w:tc>
        <w:tc>
          <w:tcPr>
            <w:tcW w:w="720" w:type="dxa"/>
            <w:vAlign w:val="center"/>
          </w:tcPr>
          <w:p w14:paraId="2E5C8B94">
            <w:pPr>
              <w:pStyle w:val="42"/>
              <w:rPr>
                <w:color w:val="000000" w:themeColor="text1"/>
                <w14:textFill>
                  <w14:solidFill>
                    <w14:schemeClr w14:val="tx1"/>
                  </w14:solidFill>
                </w14:textFill>
              </w:rPr>
            </w:pPr>
          </w:p>
        </w:tc>
        <w:tc>
          <w:tcPr>
            <w:tcW w:w="720" w:type="dxa"/>
            <w:vAlign w:val="center"/>
          </w:tcPr>
          <w:p w14:paraId="7011740B">
            <w:pPr>
              <w:pStyle w:val="42"/>
              <w:rPr>
                <w:color w:val="000000" w:themeColor="text1"/>
                <w14:textFill>
                  <w14:solidFill>
                    <w14:schemeClr w14:val="tx1"/>
                  </w14:solidFill>
                </w14:textFill>
              </w:rPr>
            </w:pPr>
          </w:p>
        </w:tc>
      </w:tr>
      <w:tr w14:paraId="4D3A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0B5CC6AD">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11F4096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1BAC310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2BB908E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6ABB7A6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C1F5D7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验收</w:t>
            </w:r>
          </w:p>
        </w:tc>
        <w:tc>
          <w:tcPr>
            <w:tcW w:w="5564" w:type="dxa"/>
            <w:vAlign w:val="center"/>
          </w:tcPr>
          <w:p w14:paraId="1C0A0F5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）顶进施工前，未按规定对顶管设备进行验收，扣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2E03B1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）工作井施工完毕，未组织验收或未办理验收手续，扣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7ED4EC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）验收内容未进行量化，或未经责任人签字确认，扣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15AE3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）验收合格后未在明显位置悬挂验收合格牌，扣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tc>
        <w:tc>
          <w:tcPr>
            <w:tcW w:w="736" w:type="dxa"/>
            <w:vAlign w:val="center"/>
          </w:tcPr>
          <w:p w14:paraId="28DD882B">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77962C33">
            <w:pPr>
              <w:pStyle w:val="42"/>
              <w:rPr>
                <w:color w:val="000000" w:themeColor="text1"/>
                <w14:textFill>
                  <w14:solidFill>
                    <w14:schemeClr w14:val="tx1"/>
                  </w14:solidFill>
                </w14:textFill>
              </w:rPr>
            </w:pPr>
          </w:p>
        </w:tc>
        <w:tc>
          <w:tcPr>
            <w:tcW w:w="720" w:type="dxa"/>
            <w:vAlign w:val="center"/>
          </w:tcPr>
          <w:p w14:paraId="11D5F7C5">
            <w:pPr>
              <w:pStyle w:val="42"/>
              <w:rPr>
                <w:color w:val="000000" w:themeColor="text1"/>
                <w14:textFill>
                  <w14:solidFill>
                    <w14:schemeClr w14:val="tx1"/>
                  </w14:solidFill>
                </w14:textFill>
              </w:rPr>
            </w:pPr>
          </w:p>
        </w:tc>
      </w:tr>
      <w:tr w14:paraId="1E3D0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0EB1FD0">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6F3910A2">
            <w:pPr>
              <w:pStyle w:val="42"/>
              <w:rPr>
                <w:color w:val="000000" w:themeColor="text1"/>
                <w14:textFill>
                  <w14:solidFill>
                    <w14:schemeClr w14:val="tx1"/>
                  </w14:solidFill>
                </w14:textFill>
              </w:rPr>
            </w:pPr>
          </w:p>
        </w:tc>
        <w:tc>
          <w:tcPr>
            <w:tcW w:w="898" w:type="dxa"/>
            <w:vAlign w:val="center"/>
          </w:tcPr>
          <w:p w14:paraId="1A84B32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排水、排泥及通风</w:t>
            </w:r>
          </w:p>
        </w:tc>
        <w:tc>
          <w:tcPr>
            <w:tcW w:w="5564" w:type="dxa"/>
            <w:vAlign w:val="center"/>
          </w:tcPr>
          <w:p w14:paraId="41746A3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）作业深度范围内有地下水时未采取有效降排水措施，扣</w:t>
            </w:r>
            <w:r>
              <w:rPr>
                <w:color w:val="000000" w:themeColor="text1"/>
                <w14:textFill>
                  <w14:solidFill>
                    <w14:schemeClr w14:val="tx1"/>
                  </w14:solidFill>
                </w14:textFill>
              </w:rPr>
              <w:t>3-6</w:t>
            </w:r>
            <w:r>
              <w:rPr>
                <w:rFonts w:hint="eastAsia"/>
                <w:color w:val="000000" w:themeColor="text1"/>
                <w14:textFill>
                  <w14:solidFill>
                    <w14:schemeClr w14:val="tx1"/>
                  </w14:solidFill>
                </w14:textFill>
              </w:rPr>
              <w:t>分</w:t>
            </w:r>
          </w:p>
          <w:p w14:paraId="2D2F77E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）井四周地面未设置防、排水设施，扣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6C0E1B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）井底封底前未设置带盖的集水坑，或积水坑内积水未及时排除，扣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073A27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）顶管产生的泥浆未按规定及时排放，扣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E7306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）管道内未设置通风装置，扣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分；通风量或空气质量不符合要求，扣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22E04BA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）管道内未设置有毒气体检测报警装置，扣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04F93A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）地层中存在有害气体时未采用封闭式顶管机，扣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36" w:type="dxa"/>
            <w:vAlign w:val="center"/>
          </w:tcPr>
          <w:p w14:paraId="0EC3E3D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54A1CD9">
            <w:pPr>
              <w:pStyle w:val="42"/>
              <w:rPr>
                <w:color w:val="000000" w:themeColor="text1"/>
                <w14:textFill>
                  <w14:solidFill>
                    <w14:schemeClr w14:val="tx1"/>
                  </w14:solidFill>
                </w14:textFill>
              </w:rPr>
            </w:pPr>
          </w:p>
        </w:tc>
        <w:tc>
          <w:tcPr>
            <w:tcW w:w="720" w:type="dxa"/>
            <w:vAlign w:val="center"/>
          </w:tcPr>
          <w:p w14:paraId="4A372D28">
            <w:pPr>
              <w:pStyle w:val="42"/>
              <w:rPr>
                <w:color w:val="000000" w:themeColor="text1"/>
                <w14:textFill>
                  <w14:solidFill>
                    <w14:schemeClr w14:val="tx1"/>
                  </w14:solidFill>
                </w14:textFill>
              </w:rPr>
            </w:pPr>
          </w:p>
        </w:tc>
      </w:tr>
      <w:tr w14:paraId="62BF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251CBDB">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391496DC">
            <w:pPr>
              <w:pStyle w:val="42"/>
              <w:rPr>
                <w:color w:val="000000" w:themeColor="text1"/>
                <w14:textFill>
                  <w14:solidFill>
                    <w14:schemeClr w14:val="tx1"/>
                  </w14:solidFill>
                </w14:textFill>
              </w:rPr>
            </w:pPr>
          </w:p>
        </w:tc>
        <w:tc>
          <w:tcPr>
            <w:tcW w:w="898" w:type="dxa"/>
            <w:vAlign w:val="center"/>
          </w:tcPr>
          <w:p w14:paraId="396AA15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64" w:type="dxa"/>
            <w:vAlign w:val="center"/>
          </w:tcPr>
          <w:p w14:paraId="68A2999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）工作井周边未按标准要求设置防护栏杆或栏杆设置不符合标准要求，扣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2ADAAD5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）地面井口周围未设置防汛墙和防雨设施，扣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1562693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）作业区未设置警示标志、警戒区域，扣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BFA74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）工作井内未按标准要求设置人员上下的安全通道，扣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4AD2EB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）降水井口未设置防护盖板或围栏，扣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8BA66B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）地面与顶管工作面之间未设置联络通讯设备，扣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36" w:type="dxa"/>
            <w:vAlign w:val="center"/>
          </w:tcPr>
          <w:p w14:paraId="70486018">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3D6E0252">
            <w:pPr>
              <w:pStyle w:val="42"/>
              <w:rPr>
                <w:color w:val="000000" w:themeColor="text1"/>
                <w14:textFill>
                  <w14:solidFill>
                    <w14:schemeClr w14:val="tx1"/>
                  </w14:solidFill>
                </w14:textFill>
              </w:rPr>
            </w:pPr>
          </w:p>
        </w:tc>
        <w:tc>
          <w:tcPr>
            <w:tcW w:w="720" w:type="dxa"/>
            <w:vAlign w:val="center"/>
          </w:tcPr>
          <w:p w14:paraId="20388B70">
            <w:pPr>
              <w:pStyle w:val="42"/>
              <w:rPr>
                <w:color w:val="000000" w:themeColor="text1"/>
                <w14:textFill>
                  <w14:solidFill>
                    <w14:schemeClr w14:val="tx1"/>
                  </w14:solidFill>
                </w14:textFill>
              </w:rPr>
            </w:pPr>
          </w:p>
        </w:tc>
      </w:tr>
      <w:tr w14:paraId="4529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180D0E1">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340F4645">
            <w:pPr>
              <w:pStyle w:val="42"/>
              <w:rPr>
                <w:color w:val="000000" w:themeColor="text1"/>
                <w14:textFill>
                  <w14:solidFill>
                    <w14:schemeClr w14:val="tx1"/>
                  </w14:solidFill>
                </w14:textFill>
              </w:rPr>
            </w:pPr>
          </w:p>
        </w:tc>
        <w:tc>
          <w:tcPr>
            <w:tcW w:w="898" w:type="dxa"/>
            <w:vAlign w:val="center"/>
          </w:tcPr>
          <w:p w14:paraId="2AD9DCE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供电</w:t>
            </w:r>
          </w:p>
        </w:tc>
        <w:tc>
          <w:tcPr>
            <w:tcW w:w="5564" w:type="dxa"/>
            <w:vAlign w:val="center"/>
          </w:tcPr>
          <w:p w14:paraId="566984E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）顶管施工用电输出端未按动力、照明分别供电，扣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7E386CF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）进管电缆未悬挂于管壁，扣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F83126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）顶管距离超过</w:t>
            </w:r>
            <w:r>
              <w:rPr>
                <w:color w:val="000000" w:themeColor="text1"/>
                <w14:textFill>
                  <w14:solidFill>
                    <w14:schemeClr w14:val="tx1"/>
                  </w14:solidFill>
                </w14:textFill>
              </w:rPr>
              <w:t>800m</w:t>
            </w:r>
            <w:r>
              <w:rPr>
                <w:rFonts w:hint="eastAsia"/>
                <w:color w:val="000000" w:themeColor="text1"/>
                <w14:textFill>
                  <w14:solidFill>
                    <w14:schemeClr w14:val="tx1"/>
                  </w14:solidFill>
                </w14:textFill>
              </w:rPr>
              <w:t>时，未采用调压器配电或未将高压电引进并增设变压器供电，扣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C2A4F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）井内与管内照明电压大于</w:t>
            </w:r>
            <w:r>
              <w:rPr>
                <w:color w:val="000000" w:themeColor="text1"/>
                <w14:textFill>
                  <w14:solidFill>
                    <w14:schemeClr w14:val="tx1"/>
                  </w14:solidFill>
                </w14:textFill>
              </w:rPr>
              <w:t>36V</w:t>
            </w:r>
            <w:r>
              <w:rPr>
                <w:rFonts w:hint="eastAsia"/>
                <w:color w:val="000000" w:themeColor="text1"/>
                <w14:textFill>
                  <w14:solidFill>
                    <w14:schemeClr w14:val="tx1"/>
                  </w14:solidFill>
                </w14:textFill>
              </w:rPr>
              <w:t>，或未采用低压防爆灯，扣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2FDD2F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）管内供电系统未按标准要求配备漏电保护装置，扣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36" w:type="dxa"/>
            <w:vAlign w:val="center"/>
          </w:tcPr>
          <w:p w14:paraId="27C72F7F">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14BCA4F9">
            <w:pPr>
              <w:pStyle w:val="42"/>
              <w:rPr>
                <w:color w:val="000000" w:themeColor="text1"/>
                <w14:textFill>
                  <w14:solidFill>
                    <w14:schemeClr w14:val="tx1"/>
                  </w14:solidFill>
                </w14:textFill>
              </w:rPr>
            </w:pPr>
          </w:p>
        </w:tc>
        <w:tc>
          <w:tcPr>
            <w:tcW w:w="720" w:type="dxa"/>
            <w:vAlign w:val="center"/>
          </w:tcPr>
          <w:p w14:paraId="2ED4EF9D">
            <w:pPr>
              <w:pStyle w:val="42"/>
              <w:rPr>
                <w:color w:val="000000" w:themeColor="text1"/>
                <w14:textFill>
                  <w14:solidFill>
                    <w14:schemeClr w14:val="tx1"/>
                  </w14:solidFill>
                </w14:textFill>
              </w:rPr>
            </w:pPr>
          </w:p>
        </w:tc>
      </w:tr>
      <w:tr w14:paraId="52EB4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3DB6FF3">
            <w:pPr>
              <w:pStyle w:val="42"/>
              <w:rPr>
                <w:color w:val="000000" w:themeColor="text1"/>
                <w14:textFill>
                  <w14:solidFill>
                    <w14:schemeClr w14:val="tx1"/>
                  </w14:solidFill>
                </w14:textFill>
              </w:rPr>
            </w:pPr>
          </w:p>
          <w:p w14:paraId="30DF7B82">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24FE31A3">
            <w:pPr>
              <w:pStyle w:val="42"/>
              <w:rPr>
                <w:color w:val="000000" w:themeColor="text1"/>
                <w14:textFill>
                  <w14:solidFill>
                    <w14:schemeClr w14:val="tx1"/>
                  </w14:solidFill>
                </w14:textFill>
              </w:rPr>
            </w:pPr>
          </w:p>
        </w:tc>
        <w:tc>
          <w:tcPr>
            <w:tcW w:w="898" w:type="dxa"/>
            <w:vAlign w:val="center"/>
          </w:tcPr>
          <w:p w14:paraId="098A52E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拆除</w:t>
            </w:r>
          </w:p>
        </w:tc>
        <w:tc>
          <w:tcPr>
            <w:tcW w:w="5564" w:type="dxa"/>
            <w:vAlign w:val="center"/>
          </w:tcPr>
          <w:p w14:paraId="7F3A3AB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）工作井洞口封门拆除不符合相关规定，扣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124B06A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）工程顶管施工完成后，提升设备、顶进设备未按施工方案拆除顺序拆除，扣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5F0F2E3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）机械拆除的施工载荷大于支护结构承载力，扣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36" w:type="dxa"/>
            <w:vAlign w:val="center"/>
          </w:tcPr>
          <w:p w14:paraId="2851291B">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720" w:type="dxa"/>
            <w:vAlign w:val="center"/>
          </w:tcPr>
          <w:p w14:paraId="6938CB41">
            <w:pPr>
              <w:pStyle w:val="42"/>
              <w:rPr>
                <w:color w:val="000000" w:themeColor="text1"/>
                <w14:textFill>
                  <w14:solidFill>
                    <w14:schemeClr w14:val="tx1"/>
                  </w14:solidFill>
                </w14:textFill>
              </w:rPr>
            </w:pPr>
          </w:p>
        </w:tc>
        <w:tc>
          <w:tcPr>
            <w:tcW w:w="720" w:type="dxa"/>
            <w:vAlign w:val="center"/>
          </w:tcPr>
          <w:p w14:paraId="4B83FA57">
            <w:pPr>
              <w:pStyle w:val="42"/>
              <w:rPr>
                <w:color w:val="000000" w:themeColor="text1"/>
                <w14:textFill>
                  <w14:solidFill>
                    <w14:schemeClr w14:val="tx1"/>
                  </w14:solidFill>
                </w14:textFill>
              </w:rPr>
            </w:pPr>
          </w:p>
        </w:tc>
      </w:tr>
      <w:tr w14:paraId="55C6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066342C">
            <w:pPr>
              <w:pStyle w:val="42"/>
              <w:rPr>
                <w:color w:val="000000" w:themeColor="text1"/>
                <w14:textFill>
                  <w14:solidFill>
                    <w14:schemeClr w14:val="tx1"/>
                  </w14:solidFill>
                </w14:textFill>
              </w:rPr>
            </w:pPr>
          </w:p>
        </w:tc>
        <w:tc>
          <w:tcPr>
            <w:tcW w:w="543" w:type="dxa"/>
            <w:vMerge w:val="continue"/>
          </w:tcPr>
          <w:p w14:paraId="076321B5">
            <w:pPr>
              <w:pStyle w:val="42"/>
              <w:rPr>
                <w:color w:val="000000" w:themeColor="text1"/>
                <w14:textFill>
                  <w14:solidFill>
                    <w14:schemeClr w14:val="tx1"/>
                  </w14:solidFill>
                </w14:textFill>
              </w:rPr>
            </w:pPr>
          </w:p>
        </w:tc>
        <w:tc>
          <w:tcPr>
            <w:tcW w:w="6462" w:type="dxa"/>
            <w:gridSpan w:val="2"/>
            <w:vAlign w:val="center"/>
          </w:tcPr>
          <w:p w14:paraId="1190CB33">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36" w:type="dxa"/>
            <w:vAlign w:val="center"/>
          </w:tcPr>
          <w:p w14:paraId="5007BF42">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05717B43">
            <w:pPr>
              <w:pStyle w:val="42"/>
              <w:rPr>
                <w:color w:val="000000" w:themeColor="text1"/>
                <w14:textFill>
                  <w14:solidFill>
                    <w14:schemeClr w14:val="tx1"/>
                  </w14:solidFill>
                </w14:textFill>
              </w:rPr>
            </w:pPr>
          </w:p>
        </w:tc>
        <w:tc>
          <w:tcPr>
            <w:tcW w:w="720" w:type="dxa"/>
            <w:vAlign w:val="center"/>
          </w:tcPr>
          <w:p w14:paraId="52F5C9A6">
            <w:pPr>
              <w:pStyle w:val="42"/>
              <w:rPr>
                <w:color w:val="000000" w:themeColor="text1"/>
                <w14:textFill>
                  <w14:solidFill>
                    <w14:schemeClr w14:val="tx1"/>
                  </w14:solidFill>
                </w14:textFill>
              </w:rPr>
            </w:pPr>
          </w:p>
        </w:tc>
      </w:tr>
      <w:tr w14:paraId="18BF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44" w:type="dxa"/>
            <w:gridSpan w:val="4"/>
            <w:vAlign w:val="center"/>
          </w:tcPr>
          <w:p w14:paraId="62EEB6D4">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36" w:type="dxa"/>
            <w:vAlign w:val="center"/>
          </w:tcPr>
          <w:p w14:paraId="03DF962C">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71338F1E">
            <w:pPr>
              <w:pStyle w:val="42"/>
              <w:rPr>
                <w:color w:val="000000" w:themeColor="text1"/>
                <w14:textFill>
                  <w14:solidFill>
                    <w14:schemeClr w14:val="tx1"/>
                  </w14:solidFill>
                </w14:textFill>
              </w:rPr>
            </w:pPr>
          </w:p>
        </w:tc>
        <w:tc>
          <w:tcPr>
            <w:tcW w:w="720" w:type="dxa"/>
            <w:vAlign w:val="center"/>
          </w:tcPr>
          <w:p w14:paraId="5275605D">
            <w:pPr>
              <w:pStyle w:val="42"/>
              <w:rPr>
                <w:color w:val="000000" w:themeColor="text1"/>
                <w14:textFill>
                  <w14:solidFill>
                    <w14:schemeClr w14:val="tx1"/>
                  </w14:solidFill>
                </w14:textFill>
              </w:rPr>
            </w:pPr>
          </w:p>
        </w:tc>
      </w:tr>
    </w:tbl>
    <w:p w14:paraId="577C9E99">
      <w:pPr>
        <w:rPr>
          <w:color w:val="000000" w:themeColor="text1"/>
          <w14:textFill>
            <w14:solidFill>
              <w14:schemeClr w14:val="tx1"/>
            </w14:solidFill>
          </w14:textFill>
        </w:rPr>
      </w:pPr>
    </w:p>
    <w:p w14:paraId="0572B58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78" w:name="_Toc23878"/>
      <w:bookmarkStart w:id="79" w:name="_Toc8025"/>
      <w:bookmarkStart w:id="80" w:name="_Toc23956"/>
      <w:r>
        <w:rPr>
          <w:rFonts w:hint="eastAsia"/>
          <w:color w:val="000000" w:themeColor="text1"/>
          <w14:textFill>
            <w14:solidFill>
              <w14:schemeClr w14:val="tx1"/>
            </w14:solidFill>
          </w14:textFill>
        </w:rPr>
        <w:t>表</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6  塔式起重机检查</w:t>
      </w:r>
      <w:r>
        <w:rPr>
          <w:color w:val="000000" w:themeColor="text1"/>
          <w14:textFill>
            <w14:solidFill>
              <w14:schemeClr w14:val="tx1"/>
            </w14:solidFill>
          </w14:textFill>
        </w:rPr>
        <w:t>评分表</w:t>
      </w:r>
      <w:bookmarkEnd w:id="78"/>
      <w:bookmarkEnd w:id="79"/>
      <w:bookmarkEnd w:id="80"/>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1797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2CF75A4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57569C2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771C339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 分 标 准</w:t>
            </w:r>
          </w:p>
        </w:tc>
        <w:tc>
          <w:tcPr>
            <w:tcW w:w="720" w:type="dxa"/>
            <w:vAlign w:val="center"/>
          </w:tcPr>
          <w:p w14:paraId="3A6FB14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4859D35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24E45E24">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2EECB9A">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615A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2869AA7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7A526D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3760DF4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2816BC0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D3FFBB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1E382AD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2D76041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）未按规定编制专项施工方案，或未对地基基础进行设计计算，扣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236C64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）多塔作业未制定专项施工方案，扣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DA5C86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84F92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）高度</w:t>
            </w:r>
            <w:r>
              <w:rPr>
                <w:color w:val="000000" w:themeColor="text1"/>
                <w14:textFill>
                  <w14:solidFill>
                    <w14:schemeClr w14:val="tx1"/>
                  </w14:solidFill>
                </w14:textFill>
              </w:rPr>
              <w:t>200m</w:t>
            </w:r>
            <w:r>
              <w:rPr>
                <w:rFonts w:hint="eastAsia"/>
                <w:color w:val="000000" w:themeColor="text1"/>
                <w14:textFill>
                  <w14:solidFill>
                    <w14:schemeClr w14:val="tx1"/>
                  </w14:solidFill>
                </w14:textFill>
              </w:rPr>
              <w:t>及以上内爬塔吊的拆除方案未按规定组织专家论证，扣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DE4B80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1297944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353DEF4">
            <w:pPr>
              <w:pStyle w:val="42"/>
              <w:rPr>
                <w:color w:val="000000" w:themeColor="text1"/>
                <w14:textFill>
                  <w14:solidFill>
                    <w14:schemeClr w14:val="tx1"/>
                  </w14:solidFill>
                </w14:textFill>
              </w:rPr>
            </w:pPr>
          </w:p>
        </w:tc>
        <w:tc>
          <w:tcPr>
            <w:tcW w:w="720" w:type="dxa"/>
            <w:vAlign w:val="center"/>
          </w:tcPr>
          <w:p w14:paraId="1954212B">
            <w:pPr>
              <w:pStyle w:val="42"/>
              <w:rPr>
                <w:color w:val="000000" w:themeColor="text1"/>
                <w14:textFill>
                  <w14:solidFill>
                    <w14:schemeClr w14:val="tx1"/>
                  </w14:solidFill>
                </w14:textFill>
              </w:rPr>
            </w:pPr>
          </w:p>
        </w:tc>
      </w:tr>
      <w:tr w14:paraId="106BD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3C4028E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1BE07B9E">
            <w:pPr>
              <w:pStyle w:val="42"/>
              <w:rPr>
                <w:color w:val="000000" w:themeColor="text1"/>
                <w14:textFill>
                  <w14:solidFill>
                    <w14:schemeClr w14:val="tx1"/>
                  </w14:solidFill>
                </w14:textFill>
              </w:rPr>
            </w:pPr>
          </w:p>
        </w:tc>
        <w:tc>
          <w:tcPr>
            <w:tcW w:w="898" w:type="dxa"/>
            <w:vAlign w:val="center"/>
          </w:tcPr>
          <w:p w14:paraId="2AFEBC5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w:t>
            </w:r>
            <w:r>
              <w:rPr>
                <w:color w:val="000000" w:themeColor="text1"/>
                <w14:textFill>
                  <w14:solidFill>
                    <w14:schemeClr w14:val="tx1"/>
                  </w14:solidFill>
                </w14:textFill>
              </w:rPr>
              <w:t>装置</w:t>
            </w:r>
          </w:p>
        </w:tc>
        <w:tc>
          <w:tcPr>
            <w:tcW w:w="5580" w:type="dxa"/>
            <w:vAlign w:val="center"/>
          </w:tcPr>
          <w:p w14:paraId="5EDE81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1）未安装起重量限制器或不灵敏，扣10分</w:t>
            </w:r>
          </w:p>
          <w:p w14:paraId="6894B8B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2）未安装起重力矩限制器或不灵敏，扣10分</w:t>
            </w:r>
          </w:p>
          <w:p w14:paraId="56EDFEC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）未安装起升高度限位器或不灵敏，扣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分；安全越程不符合标准要求，扣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51D81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）小车变幅的塔式起重机未安装小车行程限位开关或不灵敏，扣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1C5846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）动臂变幅的塔式起重机未安装臂架幅度限位开关或不灵敏，扣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98E761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）回转部分不设集电器的塔式起重机未安装回转限位器或不灵敏，扣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934DE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）行走式塔式起重机未安装行走限位器或不灵敏，扣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78CB2C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6A35545">
            <w:pPr>
              <w:pStyle w:val="42"/>
              <w:rPr>
                <w:color w:val="000000" w:themeColor="text1"/>
                <w14:textFill>
                  <w14:solidFill>
                    <w14:schemeClr w14:val="tx1"/>
                  </w14:solidFill>
                </w14:textFill>
              </w:rPr>
            </w:pPr>
          </w:p>
        </w:tc>
        <w:tc>
          <w:tcPr>
            <w:tcW w:w="720" w:type="dxa"/>
            <w:vAlign w:val="center"/>
          </w:tcPr>
          <w:p w14:paraId="1F901F62">
            <w:pPr>
              <w:pStyle w:val="42"/>
              <w:rPr>
                <w:color w:val="000000" w:themeColor="text1"/>
                <w14:textFill>
                  <w14:solidFill>
                    <w14:schemeClr w14:val="tx1"/>
                  </w14:solidFill>
                </w14:textFill>
              </w:rPr>
            </w:pPr>
          </w:p>
        </w:tc>
      </w:tr>
      <w:tr w14:paraId="1EE9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B77296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34182257">
            <w:pPr>
              <w:pStyle w:val="42"/>
              <w:rPr>
                <w:color w:val="000000" w:themeColor="text1"/>
                <w14:textFill>
                  <w14:solidFill>
                    <w14:schemeClr w14:val="tx1"/>
                  </w14:solidFill>
                </w14:textFill>
              </w:rPr>
            </w:pPr>
          </w:p>
        </w:tc>
        <w:tc>
          <w:tcPr>
            <w:tcW w:w="898" w:type="dxa"/>
            <w:vAlign w:val="center"/>
          </w:tcPr>
          <w:p w14:paraId="2583E4B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保护装置</w:t>
            </w:r>
          </w:p>
        </w:tc>
        <w:tc>
          <w:tcPr>
            <w:tcW w:w="5580" w:type="dxa"/>
            <w:vAlign w:val="center"/>
          </w:tcPr>
          <w:p w14:paraId="0E1304B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）小车变幅的塔式起重机未安装断绳保护装置或未安装断轴保护装置，扣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30A8A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）塔机行走和小车变幅轨道行程末端未按标准要求安装缓冲器和止挡装置，扣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47D7868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）塔式起重机顶高度大于</w:t>
            </w:r>
            <w:r>
              <w:rPr>
                <w:color w:val="000000" w:themeColor="text1"/>
                <w14:textFill>
                  <w14:solidFill>
                    <w14:schemeClr w14:val="tx1"/>
                  </w14:solidFill>
                </w14:textFill>
              </w:rPr>
              <w:t>30m</w:t>
            </w:r>
            <w:r>
              <w:rPr>
                <w:rFonts w:hint="eastAsia"/>
                <w:color w:val="000000" w:themeColor="text1"/>
                <w14:textFill>
                  <w14:solidFill>
                    <w14:schemeClr w14:val="tx1"/>
                  </w14:solidFill>
                </w14:textFill>
              </w:rPr>
              <w:t>且高于周围建筑物时，未按规定安装红色障碍指示灯，扣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5C626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）起重臂根部绞点高度大于</w:t>
            </w:r>
            <w:r>
              <w:rPr>
                <w:color w:val="000000" w:themeColor="text1"/>
                <w14:textFill>
                  <w14:solidFill>
                    <w14:schemeClr w14:val="tx1"/>
                  </w14:solidFill>
                </w14:textFill>
              </w:rPr>
              <w:t>50m</w:t>
            </w:r>
            <w:r>
              <w:rPr>
                <w:rFonts w:hint="eastAsia"/>
                <w:color w:val="000000" w:themeColor="text1"/>
                <w14:textFill>
                  <w14:solidFill>
                    <w14:schemeClr w14:val="tx1"/>
                  </w14:solidFill>
                </w14:textFill>
              </w:rPr>
              <w:t>的塔式起重机未安装风速仪或不灵敏，扣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0D1068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722FF3AD">
            <w:pPr>
              <w:pStyle w:val="42"/>
              <w:rPr>
                <w:color w:val="000000" w:themeColor="text1"/>
                <w14:textFill>
                  <w14:solidFill>
                    <w14:schemeClr w14:val="tx1"/>
                  </w14:solidFill>
                </w14:textFill>
              </w:rPr>
            </w:pPr>
          </w:p>
        </w:tc>
        <w:tc>
          <w:tcPr>
            <w:tcW w:w="720" w:type="dxa"/>
            <w:vAlign w:val="center"/>
          </w:tcPr>
          <w:p w14:paraId="4BBB330D">
            <w:pPr>
              <w:pStyle w:val="42"/>
              <w:rPr>
                <w:color w:val="000000" w:themeColor="text1"/>
                <w14:textFill>
                  <w14:solidFill>
                    <w14:schemeClr w14:val="tx1"/>
                  </w14:solidFill>
                </w14:textFill>
              </w:rPr>
            </w:pPr>
          </w:p>
        </w:tc>
      </w:tr>
      <w:tr w14:paraId="132D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8BF122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543" w:type="dxa"/>
            <w:vMerge w:val="continue"/>
          </w:tcPr>
          <w:p w14:paraId="3F3406AE">
            <w:pPr>
              <w:pStyle w:val="42"/>
              <w:rPr>
                <w:color w:val="000000" w:themeColor="text1"/>
                <w14:textFill>
                  <w14:solidFill>
                    <w14:schemeClr w14:val="tx1"/>
                  </w14:solidFill>
                </w14:textFill>
              </w:rPr>
            </w:pPr>
          </w:p>
        </w:tc>
        <w:tc>
          <w:tcPr>
            <w:tcW w:w="898" w:type="dxa"/>
            <w:vAlign w:val="center"/>
          </w:tcPr>
          <w:p w14:paraId="3B606D4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吊钩、滑轮、钢丝绳与索具</w:t>
            </w:r>
          </w:p>
        </w:tc>
        <w:tc>
          <w:tcPr>
            <w:tcW w:w="5580" w:type="dxa"/>
            <w:vAlign w:val="center"/>
          </w:tcPr>
          <w:p w14:paraId="7C3707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）吊钩规格、型号不符合产品说明书要求或磨损、变形达到报废标准，扣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6592E0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）滑轮、卷筒磨损达到报废标准，扣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43D40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）吊钩、滑轮、卷筒未设置钢丝绳防脱装置或装置失效，扣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AD2E8F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）钢丝绳磨损、断丝、变形、锈蚀达到报废标准，扣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AEE27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）钢丝绳的规格、型号不符合产品说明书要求或穿绕不正确，扣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E32F29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）钢丝绳端部固接方式不符合标准要求，扣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892D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）当吊钩处于最低位置时，卷筒上钢丝绳少于</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B5598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）卷筒上钢丝绳尾端固定方式不符合产品说明书要求或设置安全可靠的固定装置，扣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D7CEC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）索具安全系数不符合标准要求，扣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3EDC02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）索具端部固接方式应符合标准要求，扣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7B16FA0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746E7B6">
            <w:pPr>
              <w:pStyle w:val="42"/>
              <w:rPr>
                <w:color w:val="000000" w:themeColor="text1"/>
                <w14:textFill>
                  <w14:solidFill>
                    <w14:schemeClr w14:val="tx1"/>
                  </w14:solidFill>
                </w14:textFill>
              </w:rPr>
            </w:pPr>
          </w:p>
        </w:tc>
        <w:tc>
          <w:tcPr>
            <w:tcW w:w="720" w:type="dxa"/>
            <w:vAlign w:val="center"/>
          </w:tcPr>
          <w:p w14:paraId="2787E55C">
            <w:pPr>
              <w:pStyle w:val="42"/>
              <w:rPr>
                <w:color w:val="000000" w:themeColor="text1"/>
                <w14:textFill>
                  <w14:solidFill>
                    <w14:schemeClr w14:val="tx1"/>
                  </w14:solidFill>
                </w14:textFill>
              </w:rPr>
            </w:pPr>
          </w:p>
        </w:tc>
      </w:tr>
      <w:tr w14:paraId="780B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13858CB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543" w:type="dxa"/>
            <w:vMerge w:val="continue"/>
          </w:tcPr>
          <w:p w14:paraId="6BAE2B64">
            <w:pPr>
              <w:pStyle w:val="42"/>
              <w:rPr>
                <w:color w:val="000000" w:themeColor="text1"/>
                <w14:textFill>
                  <w14:solidFill>
                    <w14:schemeClr w14:val="tx1"/>
                  </w14:solidFill>
                </w14:textFill>
              </w:rPr>
            </w:pPr>
          </w:p>
        </w:tc>
        <w:tc>
          <w:tcPr>
            <w:tcW w:w="898" w:type="dxa"/>
            <w:vAlign w:val="center"/>
          </w:tcPr>
          <w:p w14:paraId="7F9E3458">
            <w:pPr>
              <w:pStyle w:val="42"/>
              <w:rPr>
                <w:color w:val="000000" w:themeColor="text1"/>
                <w14:textFill>
                  <w14:solidFill>
                    <w14:schemeClr w14:val="tx1"/>
                  </w14:solidFill>
                </w14:textFill>
              </w:rPr>
            </w:pPr>
            <w:r>
              <w:rPr>
                <w:color w:val="000000" w:themeColor="text1"/>
                <w14:textFill>
                  <w14:solidFill>
                    <w14:schemeClr w14:val="tx1"/>
                  </w14:solidFill>
                </w14:textFill>
              </w:rPr>
              <w:t>附着</w:t>
            </w:r>
          </w:p>
        </w:tc>
        <w:tc>
          <w:tcPr>
            <w:tcW w:w="5580" w:type="dxa"/>
            <w:vAlign w:val="center"/>
          </w:tcPr>
          <w:p w14:paraId="430AE0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1）当塔式起重机高度超过产品说明书规定时未安装附着装置，扣10分</w:t>
            </w:r>
          </w:p>
          <w:p w14:paraId="2B2BB79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）附着装置水平距离不符合说明书要求时未进行设计计算和审批，扣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DE4F3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）附着前、附着后塔身垂直度不符合标准要求，扣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323E94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）未对采用内爬式起重机的构筑物承载结构进行承载力验算，扣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5670E3A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59D138AD">
            <w:pPr>
              <w:pStyle w:val="42"/>
              <w:rPr>
                <w:color w:val="000000" w:themeColor="text1"/>
                <w14:textFill>
                  <w14:solidFill>
                    <w14:schemeClr w14:val="tx1"/>
                  </w14:solidFill>
                </w14:textFill>
              </w:rPr>
            </w:pPr>
          </w:p>
        </w:tc>
        <w:tc>
          <w:tcPr>
            <w:tcW w:w="720" w:type="dxa"/>
            <w:vAlign w:val="center"/>
          </w:tcPr>
          <w:p w14:paraId="129BF333">
            <w:pPr>
              <w:pStyle w:val="42"/>
              <w:rPr>
                <w:color w:val="000000" w:themeColor="text1"/>
                <w14:textFill>
                  <w14:solidFill>
                    <w14:schemeClr w14:val="tx1"/>
                  </w14:solidFill>
                </w14:textFill>
              </w:rPr>
            </w:pPr>
          </w:p>
        </w:tc>
      </w:tr>
      <w:tr w14:paraId="42CC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07343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543" w:type="dxa"/>
            <w:vMerge w:val="continue"/>
            <w:vAlign w:val="center"/>
          </w:tcPr>
          <w:p w14:paraId="558BB81B">
            <w:pPr>
              <w:pStyle w:val="42"/>
              <w:rPr>
                <w:color w:val="000000" w:themeColor="text1"/>
                <w14:textFill>
                  <w14:solidFill>
                    <w14:schemeClr w14:val="tx1"/>
                  </w14:solidFill>
                </w14:textFill>
              </w:rPr>
            </w:pPr>
          </w:p>
        </w:tc>
        <w:tc>
          <w:tcPr>
            <w:tcW w:w="898" w:type="dxa"/>
            <w:vAlign w:val="center"/>
          </w:tcPr>
          <w:p w14:paraId="5A2A9ED3">
            <w:pPr>
              <w:pStyle w:val="42"/>
              <w:rPr>
                <w:color w:val="000000" w:themeColor="text1"/>
                <w14:textFill>
                  <w14:solidFill>
                    <w14:schemeClr w14:val="tx1"/>
                  </w14:solidFill>
                </w14:textFill>
              </w:rPr>
            </w:pPr>
            <w:r>
              <w:rPr>
                <w:color w:val="000000" w:themeColor="text1"/>
                <w14:textFill>
                  <w14:solidFill>
                    <w14:schemeClr w14:val="tx1"/>
                  </w14:solidFill>
                </w14:textFill>
              </w:rPr>
              <w:t>安装、拆卸</w:t>
            </w:r>
          </w:p>
          <w:p w14:paraId="4C392F6C">
            <w:pPr>
              <w:pStyle w:val="42"/>
              <w:rPr>
                <w:color w:val="000000" w:themeColor="text1"/>
                <w14:textFill>
                  <w14:solidFill>
                    <w14:schemeClr w14:val="tx1"/>
                  </w14:solidFill>
                </w14:textFill>
              </w:rPr>
            </w:pPr>
            <w:r>
              <w:rPr>
                <w:color w:val="000000" w:themeColor="text1"/>
                <w14:textFill>
                  <w14:solidFill>
                    <w14:schemeClr w14:val="tx1"/>
                  </w14:solidFill>
                </w14:textFill>
              </w:rPr>
              <w:t>与验收</w:t>
            </w:r>
          </w:p>
        </w:tc>
        <w:tc>
          <w:tcPr>
            <w:tcW w:w="5580" w:type="dxa"/>
            <w:vAlign w:val="center"/>
          </w:tcPr>
          <w:p w14:paraId="490814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）无制造许可证、产品合格证、备案证明和产品说明书，扣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DF8E8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）安装、拆卸单位未取得起重设备安装工程专业承包资质和安全生产许可证，扣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9E243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）安装、拆卸作业人员未取得特种作业资格证书，扣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42E16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）恶劣气候条件下进行塔式起重机安拆，扣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8F76F94">
            <w:pPr>
              <w:pStyle w:val="42"/>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color w:val="000000" w:themeColor="text1"/>
                <w14:textFill>
                  <w14:solidFill>
                    <w14:schemeClr w14:val="tx1"/>
                  </w14:solidFill>
                </w14:textFill>
              </w:rPr>
              <w:t>）未履行验收程序或未经责任人签字确认，扣10分</w:t>
            </w:r>
          </w:p>
          <w:p w14:paraId="0650B07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）验收后未办理使用登记，扣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7CC575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6DD3F536">
            <w:pPr>
              <w:pStyle w:val="42"/>
              <w:rPr>
                <w:color w:val="000000" w:themeColor="text1"/>
                <w14:textFill>
                  <w14:solidFill>
                    <w14:schemeClr w14:val="tx1"/>
                  </w14:solidFill>
                </w14:textFill>
              </w:rPr>
            </w:pPr>
          </w:p>
        </w:tc>
        <w:tc>
          <w:tcPr>
            <w:tcW w:w="720" w:type="dxa"/>
            <w:vAlign w:val="center"/>
          </w:tcPr>
          <w:p w14:paraId="41BD1F93">
            <w:pPr>
              <w:pStyle w:val="42"/>
              <w:rPr>
                <w:color w:val="000000" w:themeColor="text1"/>
                <w14:textFill>
                  <w14:solidFill>
                    <w14:schemeClr w14:val="tx1"/>
                  </w14:solidFill>
                </w14:textFill>
              </w:rPr>
            </w:pPr>
          </w:p>
        </w:tc>
      </w:tr>
      <w:tr w14:paraId="54FD9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50EF83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543" w:type="dxa"/>
            <w:vMerge w:val="continue"/>
            <w:vAlign w:val="center"/>
          </w:tcPr>
          <w:p w14:paraId="15D7A41D">
            <w:pPr>
              <w:pStyle w:val="42"/>
              <w:rPr>
                <w:color w:val="000000" w:themeColor="text1"/>
                <w14:textFill>
                  <w14:solidFill>
                    <w14:schemeClr w14:val="tx1"/>
                  </w14:solidFill>
                </w14:textFill>
              </w:rPr>
            </w:pPr>
          </w:p>
        </w:tc>
        <w:tc>
          <w:tcPr>
            <w:tcW w:w="898" w:type="dxa"/>
            <w:vAlign w:val="center"/>
          </w:tcPr>
          <w:p w14:paraId="3D885DC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w:t>
            </w:r>
          </w:p>
        </w:tc>
        <w:tc>
          <w:tcPr>
            <w:tcW w:w="5580" w:type="dxa"/>
            <w:vAlign w:val="center"/>
          </w:tcPr>
          <w:p w14:paraId="7A1644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）起重司机、信号工、司索工未取得特种作业资格证书，扣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11E429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）行走式塔式起重机停止作业时未锁紧夹轨器，扣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CA16A6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）作业前未按规定进行例行检查或未填写检查记录，扣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847C3D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）实行多班作业未按规定填写交接班记录，扣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0994ED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）多台塔式起重机作业时，两台塔式起重机之间的最小架设距离不符合标准要求，扣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2AA87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）采用吊具载运人员，扣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6CC4EC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C749A5A">
            <w:pPr>
              <w:pStyle w:val="42"/>
              <w:rPr>
                <w:color w:val="000000" w:themeColor="text1"/>
                <w14:textFill>
                  <w14:solidFill>
                    <w14:schemeClr w14:val="tx1"/>
                  </w14:solidFill>
                </w14:textFill>
              </w:rPr>
            </w:pPr>
          </w:p>
        </w:tc>
        <w:tc>
          <w:tcPr>
            <w:tcW w:w="720" w:type="dxa"/>
            <w:vAlign w:val="center"/>
          </w:tcPr>
          <w:p w14:paraId="79A99C99">
            <w:pPr>
              <w:pStyle w:val="42"/>
              <w:rPr>
                <w:color w:val="000000" w:themeColor="text1"/>
                <w14:textFill>
                  <w14:solidFill>
                    <w14:schemeClr w14:val="tx1"/>
                  </w14:solidFill>
                </w14:textFill>
              </w:rPr>
            </w:pPr>
          </w:p>
        </w:tc>
      </w:tr>
      <w:tr w14:paraId="3549E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804DBE0">
            <w:pPr>
              <w:pStyle w:val="42"/>
              <w:rPr>
                <w:color w:val="000000" w:themeColor="text1"/>
                <w14:textFill>
                  <w14:solidFill>
                    <w14:schemeClr w14:val="tx1"/>
                  </w14:solidFill>
                </w14:textFill>
              </w:rPr>
            </w:pPr>
          </w:p>
        </w:tc>
        <w:tc>
          <w:tcPr>
            <w:tcW w:w="543" w:type="dxa"/>
            <w:vMerge w:val="continue"/>
            <w:vAlign w:val="center"/>
          </w:tcPr>
          <w:p w14:paraId="3833D091">
            <w:pPr>
              <w:pStyle w:val="42"/>
              <w:rPr>
                <w:color w:val="000000" w:themeColor="text1"/>
                <w14:textFill>
                  <w14:solidFill>
                    <w14:schemeClr w14:val="tx1"/>
                  </w14:solidFill>
                </w14:textFill>
              </w:rPr>
            </w:pPr>
          </w:p>
        </w:tc>
        <w:tc>
          <w:tcPr>
            <w:tcW w:w="6478" w:type="dxa"/>
            <w:gridSpan w:val="2"/>
            <w:vAlign w:val="center"/>
          </w:tcPr>
          <w:p w14:paraId="4DEF94EE">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51BC433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70</w:t>
            </w:r>
          </w:p>
        </w:tc>
        <w:tc>
          <w:tcPr>
            <w:tcW w:w="720" w:type="dxa"/>
            <w:vAlign w:val="center"/>
          </w:tcPr>
          <w:p w14:paraId="500F2B90">
            <w:pPr>
              <w:pStyle w:val="42"/>
              <w:rPr>
                <w:color w:val="000000" w:themeColor="text1"/>
                <w14:textFill>
                  <w14:solidFill>
                    <w14:schemeClr w14:val="tx1"/>
                  </w14:solidFill>
                </w14:textFill>
              </w:rPr>
            </w:pPr>
          </w:p>
        </w:tc>
        <w:tc>
          <w:tcPr>
            <w:tcW w:w="720" w:type="dxa"/>
            <w:vAlign w:val="center"/>
          </w:tcPr>
          <w:p w14:paraId="44588FCC">
            <w:pPr>
              <w:pStyle w:val="42"/>
              <w:rPr>
                <w:color w:val="000000" w:themeColor="text1"/>
                <w14:textFill>
                  <w14:solidFill>
                    <w14:schemeClr w14:val="tx1"/>
                  </w14:solidFill>
                </w14:textFill>
              </w:rPr>
            </w:pPr>
          </w:p>
        </w:tc>
      </w:tr>
      <w:tr w14:paraId="02EA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249E5C6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543" w:type="dxa"/>
            <w:vMerge w:val="restart"/>
            <w:vAlign w:val="center"/>
          </w:tcPr>
          <w:p w14:paraId="129191F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77F3063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1F84534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7B36F81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1B18A907">
            <w:pPr>
              <w:pStyle w:val="42"/>
              <w:rPr>
                <w:color w:val="000000" w:themeColor="text1"/>
                <w14:textFill>
                  <w14:solidFill>
                    <w14:schemeClr w14:val="tx1"/>
                  </w14:solidFill>
                </w14:textFill>
              </w:rPr>
            </w:pPr>
            <w:r>
              <w:rPr>
                <w:color w:val="000000" w:themeColor="text1"/>
                <w14:textFill>
                  <w14:solidFill>
                    <w14:schemeClr w14:val="tx1"/>
                  </w14:solidFill>
                </w14:textFill>
              </w:rPr>
              <w:t>轨道与基础</w:t>
            </w:r>
          </w:p>
        </w:tc>
        <w:tc>
          <w:tcPr>
            <w:tcW w:w="5580" w:type="dxa"/>
            <w:vAlign w:val="center"/>
          </w:tcPr>
          <w:p w14:paraId="110C0D4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）基础形式、材料、尺寸不符合产品说明书及标准要求，扣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分；未按标准要求进行验收，扣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6819E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2）基础未设置防、排水措施，扣5分</w:t>
            </w:r>
          </w:p>
          <w:p w14:paraId="34F746D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3）行走式塔式起重机的轨道、路基箱、枕木、道钉、压板等铺设不符合</w:t>
            </w:r>
            <w:r>
              <w:rPr>
                <w:rFonts w:hint="eastAsia"/>
                <w:color w:val="000000" w:themeColor="text1"/>
                <w14:textFill>
                  <w14:solidFill>
                    <w14:schemeClr w14:val="tx1"/>
                  </w14:solidFill>
                </w14:textFill>
              </w:rPr>
              <w:t>产品</w:t>
            </w:r>
            <w:r>
              <w:rPr>
                <w:color w:val="000000" w:themeColor="text1"/>
                <w14:textFill>
                  <w14:solidFill>
                    <w14:schemeClr w14:val="tx1"/>
                  </w14:solidFill>
                </w14:textFill>
              </w:rPr>
              <w:t>说明书及标准要求，扣3-8分</w:t>
            </w:r>
          </w:p>
        </w:tc>
        <w:tc>
          <w:tcPr>
            <w:tcW w:w="720" w:type="dxa"/>
            <w:vAlign w:val="center"/>
          </w:tcPr>
          <w:p w14:paraId="4F03219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3B84275F">
            <w:pPr>
              <w:pStyle w:val="42"/>
              <w:rPr>
                <w:color w:val="000000" w:themeColor="text1"/>
                <w14:textFill>
                  <w14:solidFill>
                    <w14:schemeClr w14:val="tx1"/>
                  </w14:solidFill>
                </w14:textFill>
              </w:rPr>
            </w:pPr>
          </w:p>
        </w:tc>
        <w:tc>
          <w:tcPr>
            <w:tcW w:w="720" w:type="dxa"/>
            <w:vAlign w:val="center"/>
          </w:tcPr>
          <w:p w14:paraId="1907EDA3">
            <w:pPr>
              <w:pStyle w:val="42"/>
              <w:rPr>
                <w:color w:val="000000" w:themeColor="text1"/>
                <w14:textFill>
                  <w14:solidFill>
                    <w14:schemeClr w14:val="tx1"/>
                  </w14:solidFill>
                </w14:textFill>
              </w:rPr>
            </w:pPr>
          </w:p>
        </w:tc>
      </w:tr>
      <w:tr w14:paraId="28E7A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CD0D5E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543" w:type="dxa"/>
            <w:vMerge w:val="continue"/>
          </w:tcPr>
          <w:p w14:paraId="44460744">
            <w:pPr>
              <w:pStyle w:val="42"/>
              <w:rPr>
                <w:color w:val="000000" w:themeColor="text1"/>
                <w14:textFill>
                  <w14:solidFill>
                    <w14:schemeClr w14:val="tx1"/>
                  </w14:solidFill>
                </w14:textFill>
              </w:rPr>
            </w:pPr>
          </w:p>
        </w:tc>
        <w:tc>
          <w:tcPr>
            <w:tcW w:w="898" w:type="dxa"/>
            <w:vAlign w:val="center"/>
          </w:tcPr>
          <w:p w14:paraId="1107B6A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结构设施</w:t>
            </w:r>
          </w:p>
        </w:tc>
        <w:tc>
          <w:tcPr>
            <w:tcW w:w="5580" w:type="dxa"/>
            <w:vAlign w:val="center"/>
          </w:tcPr>
          <w:p w14:paraId="362DC4B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）主要受力结构件变形、锈蚀不符合相关标准要求，扣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1D6E0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）平台、起重臂走道、梯子、护栏、护圈设置不符合产品说明书及标准要求，扣</w:t>
            </w:r>
            <w:r>
              <w:rPr>
                <w:color w:val="000000" w:themeColor="text1"/>
                <w14:textFill>
                  <w14:solidFill>
                    <w14:schemeClr w14:val="tx1"/>
                  </w14:solidFill>
                </w14:textFill>
              </w:rPr>
              <w:t>4-8</w:t>
            </w:r>
            <w:r>
              <w:rPr>
                <w:rFonts w:hint="eastAsia"/>
                <w:color w:val="000000" w:themeColor="text1"/>
                <w14:textFill>
                  <w14:solidFill>
                    <w14:schemeClr w14:val="tx1"/>
                  </w14:solidFill>
                </w14:textFill>
              </w:rPr>
              <w:t>分</w:t>
            </w:r>
          </w:p>
          <w:p w14:paraId="038C799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）高强螺栓、销轴、紧固件的紧固、连接不符合产品说明书及相关标准要求，扣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7D9303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）司机室设置不符合相关标准要求，扣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tc>
        <w:tc>
          <w:tcPr>
            <w:tcW w:w="720" w:type="dxa"/>
            <w:vAlign w:val="center"/>
          </w:tcPr>
          <w:p w14:paraId="7BE7629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25B7420A">
            <w:pPr>
              <w:pStyle w:val="42"/>
              <w:rPr>
                <w:color w:val="000000" w:themeColor="text1"/>
                <w14:textFill>
                  <w14:solidFill>
                    <w14:schemeClr w14:val="tx1"/>
                  </w14:solidFill>
                </w14:textFill>
              </w:rPr>
            </w:pPr>
          </w:p>
        </w:tc>
        <w:tc>
          <w:tcPr>
            <w:tcW w:w="720" w:type="dxa"/>
            <w:vAlign w:val="center"/>
          </w:tcPr>
          <w:p w14:paraId="58C5124F">
            <w:pPr>
              <w:pStyle w:val="42"/>
              <w:rPr>
                <w:color w:val="000000" w:themeColor="text1"/>
                <w14:textFill>
                  <w14:solidFill>
                    <w14:schemeClr w14:val="tx1"/>
                  </w14:solidFill>
                </w14:textFill>
              </w:rPr>
            </w:pPr>
          </w:p>
        </w:tc>
      </w:tr>
      <w:tr w14:paraId="3D692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863FE3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543" w:type="dxa"/>
            <w:vMerge w:val="continue"/>
          </w:tcPr>
          <w:p w14:paraId="63805103">
            <w:pPr>
              <w:pStyle w:val="42"/>
              <w:rPr>
                <w:color w:val="000000" w:themeColor="text1"/>
                <w14:textFill>
                  <w14:solidFill>
                    <w14:schemeClr w14:val="tx1"/>
                  </w14:solidFill>
                </w14:textFill>
              </w:rPr>
            </w:pPr>
          </w:p>
        </w:tc>
        <w:tc>
          <w:tcPr>
            <w:tcW w:w="898" w:type="dxa"/>
            <w:vAlign w:val="center"/>
          </w:tcPr>
          <w:p w14:paraId="13306EC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电气安全</w:t>
            </w:r>
          </w:p>
        </w:tc>
        <w:tc>
          <w:tcPr>
            <w:tcW w:w="5580" w:type="dxa"/>
            <w:vAlign w:val="center"/>
          </w:tcPr>
          <w:p w14:paraId="6748D6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）未采用</w:t>
            </w:r>
            <w:r>
              <w:rPr>
                <w:color w:val="000000" w:themeColor="text1"/>
                <w14:textFill>
                  <w14:solidFill>
                    <w14:schemeClr w14:val="tx1"/>
                  </w14:solidFill>
                </w14:textFill>
              </w:rPr>
              <w:t>TN-S</w:t>
            </w:r>
            <w:r>
              <w:rPr>
                <w:rFonts w:hint="eastAsia"/>
                <w:color w:val="000000" w:themeColor="text1"/>
                <w14:textFill>
                  <w14:solidFill>
                    <w14:schemeClr w14:val="tx1"/>
                  </w14:solidFill>
                </w14:textFill>
              </w:rPr>
              <w:t>接零保护系统供电，扣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A6F531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）电缆使用及固定不符合相关标准要求，扣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94B1C6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）未设置非自动复位型紧急断电开关或不灵敏，扣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81764D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）未按标准要求设置避雷装置，</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6F682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）塔式起重机与架空线路的安全距离不符合标准要求时，未采取防护措施，扣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7483BE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720" w:type="dxa"/>
            <w:vAlign w:val="center"/>
          </w:tcPr>
          <w:p w14:paraId="0B6DDCCE">
            <w:pPr>
              <w:pStyle w:val="42"/>
              <w:rPr>
                <w:color w:val="000000" w:themeColor="text1"/>
                <w14:textFill>
                  <w14:solidFill>
                    <w14:schemeClr w14:val="tx1"/>
                  </w14:solidFill>
                </w14:textFill>
              </w:rPr>
            </w:pPr>
          </w:p>
        </w:tc>
        <w:tc>
          <w:tcPr>
            <w:tcW w:w="720" w:type="dxa"/>
            <w:vAlign w:val="center"/>
          </w:tcPr>
          <w:p w14:paraId="185F48CA">
            <w:pPr>
              <w:pStyle w:val="42"/>
              <w:rPr>
                <w:color w:val="000000" w:themeColor="text1"/>
                <w14:textFill>
                  <w14:solidFill>
                    <w14:schemeClr w14:val="tx1"/>
                  </w14:solidFill>
                </w14:textFill>
              </w:rPr>
            </w:pPr>
          </w:p>
        </w:tc>
      </w:tr>
      <w:tr w14:paraId="1CFA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E49077A">
            <w:pPr>
              <w:pStyle w:val="42"/>
              <w:rPr>
                <w:color w:val="000000" w:themeColor="text1"/>
                <w14:textFill>
                  <w14:solidFill>
                    <w14:schemeClr w14:val="tx1"/>
                  </w14:solidFill>
                </w14:textFill>
              </w:rPr>
            </w:pPr>
          </w:p>
        </w:tc>
        <w:tc>
          <w:tcPr>
            <w:tcW w:w="543" w:type="dxa"/>
            <w:vMerge w:val="continue"/>
          </w:tcPr>
          <w:p w14:paraId="3B33AB4A">
            <w:pPr>
              <w:pStyle w:val="42"/>
              <w:rPr>
                <w:color w:val="000000" w:themeColor="text1"/>
                <w14:textFill>
                  <w14:solidFill>
                    <w14:schemeClr w14:val="tx1"/>
                  </w14:solidFill>
                </w14:textFill>
              </w:rPr>
            </w:pPr>
          </w:p>
        </w:tc>
        <w:tc>
          <w:tcPr>
            <w:tcW w:w="6478" w:type="dxa"/>
            <w:gridSpan w:val="2"/>
            <w:vAlign w:val="center"/>
          </w:tcPr>
          <w:p w14:paraId="7225CD3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4CC31C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30</w:t>
            </w:r>
          </w:p>
        </w:tc>
        <w:tc>
          <w:tcPr>
            <w:tcW w:w="720" w:type="dxa"/>
            <w:vAlign w:val="center"/>
          </w:tcPr>
          <w:p w14:paraId="401D78D7">
            <w:pPr>
              <w:pStyle w:val="42"/>
              <w:rPr>
                <w:color w:val="000000" w:themeColor="text1"/>
                <w14:textFill>
                  <w14:solidFill>
                    <w14:schemeClr w14:val="tx1"/>
                  </w14:solidFill>
                </w14:textFill>
              </w:rPr>
            </w:pPr>
          </w:p>
        </w:tc>
        <w:tc>
          <w:tcPr>
            <w:tcW w:w="720" w:type="dxa"/>
            <w:vAlign w:val="center"/>
          </w:tcPr>
          <w:p w14:paraId="0E3E917A">
            <w:pPr>
              <w:pStyle w:val="42"/>
              <w:rPr>
                <w:color w:val="000000" w:themeColor="text1"/>
                <w14:textFill>
                  <w14:solidFill>
                    <w14:schemeClr w14:val="tx1"/>
                  </w14:solidFill>
                </w14:textFill>
              </w:rPr>
            </w:pPr>
          </w:p>
        </w:tc>
      </w:tr>
      <w:tr w14:paraId="66018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6A8DD30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10EE01D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100</w:t>
            </w:r>
          </w:p>
        </w:tc>
        <w:tc>
          <w:tcPr>
            <w:tcW w:w="720" w:type="dxa"/>
            <w:vAlign w:val="center"/>
          </w:tcPr>
          <w:p w14:paraId="1910472F">
            <w:pPr>
              <w:pStyle w:val="42"/>
              <w:rPr>
                <w:color w:val="000000" w:themeColor="text1"/>
                <w14:textFill>
                  <w14:solidFill>
                    <w14:schemeClr w14:val="tx1"/>
                  </w14:solidFill>
                </w14:textFill>
              </w:rPr>
            </w:pPr>
          </w:p>
        </w:tc>
        <w:tc>
          <w:tcPr>
            <w:tcW w:w="720" w:type="dxa"/>
            <w:vAlign w:val="center"/>
          </w:tcPr>
          <w:p w14:paraId="5E152184">
            <w:pPr>
              <w:pStyle w:val="42"/>
              <w:rPr>
                <w:color w:val="000000" w:themeColor="text1"/>
                <w14:textFill>
                  <w14:solidFill>
                    <w14:schemeClr w14:val="tx1"/>
                  </w14:solidFill>
                </w14:textFill>
              </w:rPr>
            </w:pPr>
          </w:p>
        </w:tc>
      </w:tr>
    </w:tbl>
    <w:p w14:paraId="188E89D3">
      <w:pPr>
        <w:rPr>
          <w:color w:val="000000" w:themeColor="text1"/>
          <w14:textFill>
            <w14:solidFill>
              <w14:schemeClr w14:val="tx1"/>
            </w14:solidFill>
          </w14:textFill>
        </w:rPr>
      </w:pPr>
    </w:p>
    <w:p w14:paraId="040B51B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81" w:name="_Toc2654"/>
      <w:bookmarkStart w:id="82" w:name="_Toc21851"/>
      <w:bookmarkStart w:id="83" w:name="_Toc1723"/>
      <w:r>
        <w:rPr>
          <w:rFonts w:hint="eastAsia"/>
          <w:color w:val="000000" w:themeColor="text1"/>
          <w14:textFill>
            <w14:solidFill>
              <w14:schemeClr w14:val="tx1"/>
            </w14:solidFill>
          </w14:textFill>
        </w:rPr>
        <w:t>表</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7  门式起重机检查</w:t>
      </w:r>
      <w:r>
        <w:rPr>
          <w:color w:val="000000" w:themeColor="text1"/>
          <w14:textFill>
            <w14:solidFill>
              <w14:schemeClr w14:val="tx1"/>
            </w14:solidFill>
          </w14:textFill>
        </w:rPr>
        <w:t>评分表</w:t>
      </w:r>
      <w:bookmarkEnd w:id="81"/>
      <w:bookmarkEnd w:id="82"/>
      <w:bookmarkEnd w:id="83"/>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56F2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3183CA2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5C831D4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15D6599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799A0C2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2EE032E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0EF2D7B3">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17862D40">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50756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308FB583">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B05718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59BA5EB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32B6399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31C102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013DE0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58881CB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）未按规定编制专项施工方案，或未进行相关计算，扣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7CE8525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D7BD5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）起重量</w:t>
            </w:r>
            <w:r>
              <w:rPr>
                <w:color w:val="000000" w:themeColor="text1"/>
                <w14:textFill>
                  <w14:solidFill>
                    <w14:schemeClr w14:val="tx1"/>
                  </w14:solidFill>
                </w14:textFill>
              </w:rPr>
              <w:t>30t</w:t>
            </w:r>
            <w:r>
              <w:rPr>
                <w:rFonts w:hint="eastAsia"/>
                <w:color w:val="000000" w:themeColor="text1"/>
                <w14:textFill>
                  <w14:solidFill>
                    <w14:schemeClr w14:val="tx1"/>
                  </w14:solidFill>
                </w14:textFill>
              </w:rPr>
              <w:t>及以上的门式起重机安装工程专项施工方案未按规定组织专家论证，扣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DF66A5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10728AB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F2E8ECF">
            <w:pPr>
              <w:pStyle w:val="42"/>
              <w:rPr>
                <w:color w:val="000000" w:themeColor="text1"/>
                <w14:textFill>
                  <w14:solidFill>
                    <w14:schemeClr w14:val="tx1"/>
                  </w14:solidFill>
                </w14:textFill>
              </w:rPr>
            </w:pPr>
          </w:p>
        </w:tc>
        <w:tc>
          <w:tcPr>
            <w:tcW w:w="720" w:type="dxa"/>
            <w:vAlign w:val="center"/>
          </w:tcPr>
          <w:p w14:paraId="5F09A792">
            <w:pPr>
              <w:pStyle w:val="42"/>
              <w:rPr>
                <w:color w:val="000000" w:themeColor="text1"/>
                <w14:textFill>
                  <w14:solidFill>
                    <w14:schemeClr w14:val="tx1"/>
                  </w14:solidFill>
                </w14:textFill>
              </w:rPr>
            </w:pPr>
          </w:p>
        </w:tc>
      </w:tr>
      <w:tr w14:paraId="77A41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61DD8CD5">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508EED3B">
            <w:pPr>
              <w:pStyle w:val="42"/>
              <w:rPr>
                <w:color w:val="000000" w:themeColor="text1"/>
                <w14:textFill>
                  <w14:solidFill>
                    <w14:schemeClr w14:val="tx1"/>
                  </w14:solidFill>
                </w14:textFill>
              </w:rPr>
            </w:pPr>
          </w:p>
        </w:tc>
        <w:tc>
          <w:tcPr>
            <w:tcW w:w="898" w:type="dxa"/>
            <w:vAlign w:val="center"/>
          </w:tcPr>
          <w:p w14:paraId="191C770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安全装置</w:t>
            </w:r>
          </w:p>
        </w:tc>
        <w:tc>
          <w:tcPr>
            <w:tcW w:w="5580" w:type="dxa"/>
            <w:vAlign w:val="center"/>
          </w:tcPr>
          <w:p w14:paraId="4E3C587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）未安装起重量限制器或不灵敏，扣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A719D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）未安装起升高度限位器或不灵敏，扣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分；安全越程不符合标准要求，扣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7051C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）未安装运行行程限位器或不灵敏，扣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8B5DF0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12046F0">
            <w:pPr>
              <w:pStyle w:val="42"/>
              <w:rPr>
                <w:color w:val="000000" w:themeColor="text1"/>
                <w14:textFill>
                  <w14:solidFill>
                    <w14:schemeClr w14:val="tx1"/>
                  </w14:solidFill>
                </w14:textFill>
              </w:rPr>
            </w:pPr>
          </w:p>
        </w:tc>
        <w:tc>
          <w:tcPr>
            <w:tcW w:w="720" w:type="dxa"/>
            <w:vAlign w:val="center"/>
          </w:tcPr>
          <w:p w14:paraId="10E87CFC">
            <w:pPr>
              <w:pStyle w:val="42"/>
              <w:rPr>
                <w:color w:val="000000" w:themeColor="text1"/>
                <w14:textFill>
                  <w14:solidFill>
                    <w14:schemeClr w14:val="tx1"/>
                  </w14:solidFill>
                </w14:textFill>
              </w:rPr>
            </w:pPr>
          </w:p>
        </w:tc>
      </w:tr>
      <w:tr w14:paraId="1FAA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E35906E">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D2C5B0A">
            <w:pPr>
              <w:pStyle w:val="42"/>
              <w:rPr>
                <w:color w:val="000000" w:themeColor="text1"/>
                <w14:textFill>
                  <w14:solidFill>
                    <w14:schemeClr w14:val="tx1"/>
                  </w14:solidFill>
                </w14:textFill>
              </w:rPr>
            </w:pPr>
          </w:p>
        </w:tc>
        <w:tc>
          <w:tcPr>
            <w:tcW w:w="898" w:type="dxa"/>
            <w:vAlign w:val="center"/>
          </w:tcPr>
          <w:p w14:paraId="520146E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防护设施</w:t>
            </w:r>
          </w:p>
        </w:tc>
        <w:tc>
          <w:tcPr>
            <w:tcW w:w="5580" w:type="dxa"/>
          </w:tcPr>
          <w:p w14:paraId="47ABA1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）同轨运行的门式起重机之间未按标准要求安装防碰撞装置，扣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346FF7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）门式起重机和小车行走轨道行程末端未按标准要求安装缓冲器和止挡装置，扣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421C84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）起升高度大于</w:t>
            </w:r>
            <w:r>
              <w:rPr>
                <w:color w:val="000000" w:themeColor="text1"/>
                <w14:textFill>
                  <w14:solidFill>
                    <w14:schemeClr w14:val="tx1"/>
                  </w14:solidFill>
                </w14:textFill>
              </w:rPr>
              <w:t>12m</w:t>
            </w:r>
            <w:r>
              <w:rPr>
                <w:rFonts w:hint="eastAsia"/>
                <w:color w:val="000000" w:themeColor="text1"/>
                <w14:textFill>
                  <w14:solidFill>
                    <w14:schemeClr w14:val="tx1"/>
                  </w14:solidFill>
                </w14:textFill>
              </w:rPr>
              <w:t>时未安装风速风级报警器或不灵敏，扣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38D20C6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）在主梁一侧落钩的单</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梁起重机未设置防倾覆安全钩或失效，扣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5354E2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）未安装联锁保护安全装置或不灵敏，扣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0B59D1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）未安装有效的抗风防滑装置或不牢固，扣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4AC252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A995964">
            <w:pPr>
              <w:pStyle w:val="42"/>
              <w:rPr>
                <w:color w:val="000000" w:themeColor="text1"/>
                <w14:textFill>
                  <w14:solidFill>
                    <w14:schemeClr w14:val="tx1"/>
                  </w14:solidFill>
                </w14:textFill>
              </w:rPr>
            </w:pPr>
          </w:p>
        </w:tc>
        <w:tc>
          <w:tcPr>
            <w:tcW w:w="720" w:type="dxa"/>
            <w:vAlign w:val="center"/>
          </w:tcPr>
          <w:p w14:paraId="14CFEE62">
            <w:pPr>
              <w:pStyle w:val="42"/>
              <w:rPr>
                <w:color w:val="000000" w:themeColor="text1"/>
                <w14:textFill>
                  <w14:solidFill>
                    <w14:schemeClr w14:val="tx1"/>
                  </w14:solidFill>
                </w14:textFill>
              </w:rPr>
            </w:pPr>
          </w:p>
        </w:tc>
      </w:tr>
      <w:tr w14:paraId="692BC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834E41A">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6E748903">
            <w:pPr>
              <w:pStyle w:val="42"/>
              <w:rPr>
                <w:color w:val="000000" w:themeColor="text1"/>
                <w14:textFill>
                  <w14:solidFill>
                    <w14:schemeClr w14:val="tx1"/>
                  </w14:solidFill>
                </w14:textFill>
              </w:rPr>
            </w:pPr>
          </w:p>
        </w:tc>
        <w:tc>
          <w:tcPr>
            <w:tcW w:w="898" w:type="dxa"/>
            <w:vAlign w:val="center"/>
          </w:tcPr>
          <w:p w14:paraId="6E0C5E3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吊钩、滑轮、钢丝绳与索具</w:t>
            </w:r>
          </w:p>
        </w:tc>
        <w:tc>
          <w:tcPr>
            <w:tcW w:w="5580" w:type="dxa"/>
            <w:vAlign w:val="center"/>
          </w:tcPr>
          <w:p w14:paraId="73AF95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）吊钩规格、型号不符合产品说明书要求或磨损、变形达到报废标准，扣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B13001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）滑轮、卷筒磨损达到报废标准，扣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809F5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）吊钩、滑轮、卷筒未设置钢丝绳防脱装置或装置失效，扣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79FD9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）钢丝绳磨损、断丝、变形、锈蚀达到报废标准，扣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ED80F1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）钢丝绳的规格、型号不符合产品说明书要求或穿绕不正确，扣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1EF44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）钢丝绳端部固接方式不符合标准要求，扣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8D72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）当吊钩处于最低位置时，卷筒上钢丝绳少于</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ABC972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）卷筒上钢丝绳尾端固定方式不符合产品说明书要求或未设置安全可靠的固定装置，扣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6BE8D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）索具安全系数不符合标准要求，扣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95C9D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）索具端部固接方式不符合标准要求，扣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130DFF4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6C7F3CA">
            <w:pPr>
              <w:pStyle w:val="42"/>
              <w:rPr>
                <w:color w:val="000000" w:themeColor="text1"/>
                <w14:textFill>
                  <w14:solidFill>
                    <w14:schemeClr w14:val="tx1"/>
                  </w14:solidFill>
                </w14:textFill>
              </w:rPr>
            </w:pPr>
          </w:p>
        </w:tc>
        <w:tc>
          <w:tcPr>
            <w:tcW w:w="720" w:type="dxa"/>
            <w:vAlign w:val="center"/>
          </w:tcPr>
          <w:p w14:paraId="12901BB3">
            <w:pPr>
              <w:pStyle w:val="42"/>
              <w:rPr>
                <w:color w:val="000000" w:themeColor="text1"/>
                <w14:textFill>
                  <w14:solidFill>
                    <w14:schemeClr w14:val="tx1"/>
                  </w14:solidFill>
                </w14:textFill>
              </w:rPr>
            </w:pPr>
          </w:p>
        </w:tc>
      </w:tr>
      <w:tr w14:paraId="01A95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068FE1B8">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1C76945D">
            <w:pPr>
              <w:pStyle w:val="42"/>
              <w:rPr>
                <w:color w:val="000000" w:themeColor="text1"/>
                <w14:textFill>
                  <w14:solidFill>
                    <w14:schemeClr w14:val="tx1"/>
                  </w14:solidFill>
                </w14:textFill>
              </w:rPr>
            </w:pPr>
          </w:p>
        </w:tc>
        <w:tc>
          <w:tcPr>
            <w:tcW w:w="898" w:type="dxa"/>
            <w:vAlign w:val="center"/>
          </w:tcPr>
          <w:p w14:paraId="2D41964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基础与轨道</w:t>
            </w:r>
          </w:p>
        </w:tc>
        <w:tc>
          <w:tcPr>
            <w:tcW w:w="5580" w:type="dxa"/>
          </w:tcPr>
          <w:p w14:paraId="104F56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）地基未经验算或承载力不符合产品说明书规定，扣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855BE3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）基础不坚实稳固或未设置防、排水设施，扣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121666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）基础与轨道的固定方式不符合产品说明书及标准要求或固定不牢固，扣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1F134C2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）轨道铺设跨距偏差、弯曲偏差、接头处高低偏差、左右错位偏差不符合产品说明书及标准要求，扣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3A814FC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）轨道有明显扭度或接头处间隙过大，扣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85F73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）轨顶面或侧面磨损量过大，扣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CD081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）路基箱、枕木、道钉、压板等设施不符合产品说明书及标准要求，扣</w:t>
            </w:r>
            <w:r>
              <w:rPr>
                <w:color w:val="000000" w:themeColor="text1"/>
                <w14:textFill>
                  <w14:solidFill>
                    <w14:schemeClr w14:val="tx1"/>
                  </w14:solidFill>
                </w14:textFill>
              </w:rPr>
              <w:t>3-6</w:t>
            </w:r>
            <w:r>
              <w:rPr>
                <w:rFonts w:hint="eastAsia"/>
                <w:color w:val="000000" w:themeColor="text1"/>
                <w14:textFill>
                  <w14:solidFill>
                    <w14:schemeClr w14:val="tx1"/>
                  </w14:solidFill>
                </w14:textFill>
              </w:rPr>
              <w:t>分</w:t>
            </w:r>
          </w:p>
          <w:p w14:paraId="44E7FF4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）当门式起重机支撑在既有结构上时，未对既有结构的承载力进行确认或验算，扣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1158BAF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764D396">
            <w:pPr>
              <w:pStyle w:val="42"/>
              <w:rPr>
                <w:color w:val="000000" w:themeColor="text1"/>
                <w14:textFill>
                  <w14:solidFill>
                    <w14:schemeClr w14:val="tx1"/>
                  </w14:solidFill>
                </w14:textFill>
              </w:rPr>
            </w:pPr>
          </w:p>
        </w:tc>
        <w:tc>
          <w:tcPr>
            <w:tcW w:w="720" w:type="dxa"/>
            <w:vAlign w:val="center"/>
          </w:tcPr>
          <w:p w14:paraId="20B76B6A">
            <w:pPr>
              <w:pStyle w:val="42"/>
              <w:rPr>
                <w:color w:val="000000" w:themeColor="text1"/>
                <w14:textFill>
                  <w14:solidFill>
                    <w14:schemeClr w14:val="tx1"/>
                  </w14:solidFill>
                </w14:textFill>
              </w:rPr>
            </w:pPr>
          </w:p>
        </w:tc>
      </w:tr>
      <w:tr w14:paraId="65C33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BC4C12A">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1129C6DD">
            <w:pPr>
              <w:pStyle w:val="42"/>
              <w:rPr>
                <w:color w:val="000000" w:themeColor="text1"/>
                <w14:textFill>
                  <w14:solidFill>
                    <w14:schemeClr w14:val="tx1"/>
                  </w14:solidFill>
                </w14:textFill>
              </w:rPr>
            </w:pPr>
          </w:p>
        </w:tc>
        <w:tc>
          <w:tcPr>
            <w:tcW w:w="898" w:type="dxa"/>
            <w:vAlign w:val="center"/>
          </w:tcPr>
          <w:p w14:paraId="0877D00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安装、拆卸</w:t>
            </w:r>
          </w:p>
          <w:p w14:paraId="09E0FE5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与验收</w:t>
            </w:r>
          </w:p>
        </w:tc>
        <w:tc>
          <w:tcPr>
            <w:tcW w:w="5580" w:type="dxa"/>
            <w:vAlign w:val="center"/>
          </w:tcPr>
          <w:p w14:paraId="741D1E3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）无制造许可证、产品合格证、备案证明和产品说明书，扣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35C25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）安装、拆卸单位未取得起重设备安装工程专业承包资质和安全生产许可证，扣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BE885D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）安装、拆卸作业人员未取得特种作业资格证书，扣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1CD90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）中途停止安装时未对已安装或尚未拆除部分采取固定措施，扣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24FDDF0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）未履行验收程序或未经责任人签字确认，扣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868F6A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）验收后未办理使用登记，扣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A5347A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B0BE32C">
            <w:pPr>
              <w:pStyle w:val="42"/>
              <w:rPr>
                <w:color w:val="000000" w:themeColor="text1"/>
                <w14:textFill>
                  <w14:solidFill>
                    <w14:schemeClr w14:val="tx1"/>
                  </w14:solidFill>
                </w14:textFill>
              </w:rPr>
            </w:pPr>
          </w:p>
        </w:tc>
        <w:tc>
          <w:tcPr>
            <w:tcW w:w="720" w:type="dxa"/>
            <w:vAlign w:val="center"/>
          </w:tcPr>
          <w:p w14:paraId="43E8E5BC">
            <w:pPr>
              <w:pStyle w:val="42"/>
              <w:rPr>
                <w:color w:val="000000" w:themeColor="text1"/>
                <w14:textFill>
                  <w14:solidFill>
                    <w14:schemeClr w14:val="tx1"/>
                  </w14:solidFill>
                </w14:textFill>
              </w:rPr>
            </w:pPr>
          </w:p>
        </w:tc>
      </w:tr>
      <w:tr w14:paraId="5456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D25FE44">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Align w:val="center"/>
          </w:tcPr>
          <w:p w14:paraId="7D34A44E">
            <w:pPr>
              <w:pStyle w:val="42"/>
              <w:rPr>
                <w:color w:val="000000" w:themeColor="text1"/>
                <w14:textFill>
                  <w14:solidFill>
                    <w14:schemeClr w14:val="tx1"/>
                  </w14:solidFill>
                </w14:textFill>
              </w:rPr>
            </w:pPr>
          </w:p>
        </w:tc>
        <w:tc>
          <w:tcPr>
            <w:tcW w:w="898" w:type="dxa"/>
            <w:vAlign w:val="center"/>
          </w:tcPr>
          <w:p w14:paraId="57987BF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w:t>
            </w:r>
          </w:p>
        </w:tc>
        <w:tc>
          <w:tcPr>
            <w:tcW w:w="5580" w:type="dxa"/>
            <w:vAlign w:val="center"/>
          </w:tcPr>
          <w:p w14:paraId="4CB978E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）使用前未按标准进行调试和试运行，扣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D635D0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）起重司机、信号工、司索工未取得特种作业资格证书，扣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3B7248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）使用期间未按规定形成交接班检查、日常检查和周期检查记录，扣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3E7000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）起重机停止作业时，未锁紧夹轨器，扣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49B10C3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5856F62">
            <w:pPr>
              <w:pStyle w:val="42"/>
              <w:rPr>
                <w:color w:val="000000" w:themeColor="text1"/>
                <w14:textFill>
                  <w14:solidFill>
                    <w14:schemeClr w14:val="tx1"/>
                  </w14:solidFill>
                </w14:textFill>
              </w:rPr>
            </w:pPr>
          </w:p>
        </w:tc>
        <w:tc>
          <w:tcPr>
            <w:tcW w:w="720" w:type="dxa"/>
            <w:vAlign w:val="center"/>
          </w:tcPr>
          <w:p w14:paraId="6F495A69">
            <w:pPr>
              <w:pStyle w:val="42"/>
              <w:rPr>
                <w:color w:val="000000" w:themeColor="text1"/>
                <w14:textFill>
                  <w14:solidFill>
                    <w14:schemeClr w14:val="tx1"/>
                  </w14:solidFill>
                </w14:textFill>
              </w:rPr>
            </w:pPr>
          </w:p>
        </w:tc>
      </w:tr>
      <w:tr w14:paraId="71C7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5E9ECF2E">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E0591B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74F21DB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239E93F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7508431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55F93E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安全防护及警示标识</w:t>
            </w:r>
          </w:p>
        </w:tc>
        <w:tc>
          <w:tcPr>
            <w:tcW w:w="5580" w:type="dxa"/>
          </w:tcPr>
          <w:p w14:paraId="448AEC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）未在明显位置设置主要性能标志和安全警示标志，扣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6654182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）未按规定安装警示灯，或警示灯失效，扣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1C13F0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）安拆及使用场地安全区域位置未设置围栏或警戒线，扣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0F579CF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FF06273">
            <w:pPr>
              <w:pStyle w:val="42"/>
              <w:rPr>
                <w:color w:val="000000" w:themeColor="text1"/>
                <w14:textFill>
                  <w14:solidFill>
                    <w14:schemeClr w14:val="tx1"/>
                  </w14:solidFill>
                </w14:textFill>
              </w:rPr>
            </w:pPr>
          </w:p>
        </w:tc>
        <w:tc>
          <w:tcPr>
            <w:tcW w:w="720" w:type="dxa"/>
            <w:vAlign w:val="center"/>
          </w:tcPr>
          <w:p w14:paraId="5B64AF9D">
            <w:pPr>
              <w:pStyle w:val="42"/>
              <w:rPr>
                <w:color w:val="000000" w:themeColor="text1"/>
                <w14:textFill>
                  <w14:solidFill>
                    <w14:schemeClr w14:val="tx1"/>
                  </w14:solidFill>
                </w14:textFill>
              </w:rPr>
            </w:pPr>
          </w:p>
        </w:tc>
      </w:tr>
      <w:tr w14:paraId="2D515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54F4AC1">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458EA9B2">
            <w:pPr>
              <w:pStyle w:val="42"/>
              <w:rPr>
                <w:color w:val="000000" w:themeColor="text1"/>
                <w14:textFill>
                  <w14:solidFill>
                    <w14:schemeClr w14:val="tx1"/>
                  </w14:solidFill>
                </w14:textFill>
              </w:rPr>
            </w:pPr>
          </w:p>
        </w:tc>
        <w:tc>
          <w:tcPr>
            <w:tcW w:w="898" w:type="dxa"/>
            <w:vAlign w:val="center"/>
          </w:tcPr>
          <w:p w14:paraId="0B062A4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结构设施</w:t>
            </w:r>
          </w:p>
        </w:tc>
        <w:tc>
          <w:tcPr>
            <w:tcW w:w="5580" w:type="dxa"/>
            <w:vAlign w:val="center"/>
          </w:tcPr>
          <w:p w14:paraId="4DA09D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）门式起重机主要受力结构件有明显变形、开焊、裂缝及严重锈蚀等现象，扣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798703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）平台、通道、梯子、护栏设置不符合产品说明书及标准要求，扣</w:t>
            </w:r>
            <w:r>
              <w:rPr>
                <w:color w:val="000000" w:themeColor="text1"/>
                <w14:textFill>
                  <w14:solidFill>
                    <w14:schemeClr w14:val="tx1"/>
                  </w14:solidFill>
                </w14:textFill>
              </w:rPr>
              <w:t>4-8</w:t>
            </w:r>
            <w:r>
              <w:rPr>
                <w:rFonts w:hint="eastAsia"/>
                <w:color w:val="000000" w:themeColor="text1"/>
                <w14:textFill>
                  <w14:solidFill>
                    <w14:schemeClr w14:val="tx1"/>
                  </w14:solidFill>
                </w14:textFill>
              </w:rPr>
              <w:t>分</w:t>
            </w:r>
          </w:p>
          <w:p w14:paraId="40C50D2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）高强螺栓、销轴、紧固件的紧固、连接不符合产品说明书及标准要求，扣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032AB50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D917DEB">
            <w:pPr>
              <w:pStyle w:val="42"/>
              <w:rPr>
                <w:color w:val="000000" w:themeColor="text1"/>
                <w14:textFill>
                  <w14:solidFill>
                    <w14:schemeClr w14:val="tx1"/>
                  </w14:solidFill>
                </w14:textFill>
              </w:rPr>
            </w:pPr>
          </w:p>
        </w:tc>
        <w:tc>
          <w:tcPr>
            <w:tcW w:w="720" w:type="dxa"/>
            <w:vAlign w:val="center"/>
          </w:tcPr>
          <w:p w14:paraId="33DCA652">
            <w:pPr>
              <w:pStyle w:val="42"/>
              <w:rPr>
                <w:color w:val="000000" w:themeColor="text1"/>
                <w14:textFill>
                  <w14:solidFill>
                    <w14:schemeClr w14:val="tx1"/>
                  </w14:solidFill>
                </w14:textFill>
              </w:rPr>
            </w:pPr>
          </w:p>
        </w:tc>
      </w:tr>
      <w:tr w14:paraId="5094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C6F9A02">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1B3C2492">
            <w:pPr>
              <w:pStyle w:val="42"/>
              <w:rPr>
                <w:color w:val="000000" w:themeColor="text1"/>
                <w14:textFill>
                  <w14:solidFill>
                    <w14:schemeClr w14:val="tx1"/>
                  </w14:solidFill>
                </w14:textFill>
              </w:rPr>
            </w:pPr>
          </w:p>
        </w:tc>
        <w:tc>
          <w:tcPr>
            <w:tcW w:w="898" w:type="dxa"/>
            <w:vAlign w:val="center"/>
          </w:tcPr>
          <w:p w14:paraId="17F5BBF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电气控制与保护</w:t>
            </w:r>
          </w:p>
        </w:tc>
        <w:tc>
          <w:tcPr>
            <w:tcW w:w="5580" w:type="dxa"/>
          </w:tcPr>
          <w:p w14:paraId="2161D20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）未安装非自动复位型急停开关或不灵敏，扣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574856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）门式起重机在其他防雷保护范围以外未设置避雷装置，扣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分，避雷装置不符合相关标准要求，扣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A663D9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）金属结构和所有电气设备系统金属外壳未进行可靠接地，扣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86193C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）门式起重机与架空线路的安全距离不符合标准要求时，未采取防护措施，扣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7333EB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）工作电缆拖地、泡水或无保护措施，扣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5E45B17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）电气绝缘电阻小于相关标准要求，扣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1C9D86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2B439DB">
            <w:pPr>
              <w:pStyle w:val="42"/>
              <w:rPr>
                <w:color w:val="000000" w:themeColor="text1"/>
                <w14:textFill>
                  <w14:solidFill>
                    <w14:schemeClr w14:val="tx1"/>
                  </w14:solidFill>
                </w14:textFill>
              </w:rPr>
            </w:pPr>
          </w:p>
        </w:tc>
        <w:tc>
          <w:tcPr>
            <w:tcW w:w="720" w:type="dxa"/>
            <w:vAlign w:val="center"/>
          </w:tcPr>
          <w:p w14:paraId="35FC7BB7">
            <w:pPr>
              <w:pStyle w:val="42"/>
              <w:rPr>
                <w:color w:val="000000" w:themeColor="text1"/>
                <w14:textFill>
                  <w14:solidFill>
                    <w14:schemeClr w14:val="tx1"/>
                  </w14:solidFill>
                </w14:textFill>
              </w:rPr>
            </w:pPr>
          </w:p>
        </w:tc>
      </w:tr>
      <w:tr w14:paraId="5C04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C216D37">
            <w:pPr>
              <w:pStyle w:val="42"/>
              <w:rPr>
                <w:color w:val="000000" w:themeColor="text1"/>
                <w14:textFill>
                  <w14:solidFill>
                    <w14:schemeClr w14:val="tx1"/>
                  </w14:solidFill>
                </w14:textFill>
              </w:rPr>
            </w:pPr>
          </w:p>
        </w:tc>
        <w:tc>
          <w:tcPr>
            <w:tcW w:w="543" w:type="dxa"/>
            <w:vMerge w:val="continue"/>
          </w:tcPr>
          <w:p w14:paraId="1B68103C">
            <w:pPr>
              <w:pStyle w:val="42"/>
              <w:rPr>
                <w:color w:val="000000" w:themeColor="text1"/>
                <w14:textFill>
                  <w14:solidFill>
                    <w14:schemeClr w14:val="tx1"/>
                  </w14:solidFill>
                </w14:textFill>
              </w:rPr>
            </w:pPr>
          </w:p>
        </w:tc>
        <w:tc>
          <w:tcPr>
            <w:tcW w:w="6478" w:type="dxa"/>
            <w:gridSpan w:val="2"/>
            <w:vAlign w:val="center"/>
          </w:tcPr>
          <w:p w14:paraId="50E4A591">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405969F">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6A4399BF">
            <w:pPr>
              <w:pStyle w:val="42"/>
              <w:rPr>
                <w:color w:val="000000" w:themeColor="text1"/>
                <w14:textFill>
                  <w14:solidFill>
                    <w14:schemeClr w14:val="tx1"/>
                  </w14:solidFill>
                </w14:textFill>
              </w:rPr>
            </w:pPr>
          </w:p>
        </w:tc>
        <w:tc>
          <w:tcPr>
            <w:tcW w:w="720" w:type="dxa"/>
            <w:vAlign w:val="center"/>
          </w:tcPr>
          <w:p w14:paraId="27D909FB">
            <w:pPr>
              <w:pStyle w:val="42"/>
              <w:rPr>
                <w:color w:val="000000" w:themeColor="text1"/>
                <w14:textFill>
                  <w14:solidFill>
                    <w14:schemeClr w14:val="tx1"/>
                  </w14:solidFill>
                </w14:textFill>
              </w:rPr>
            </w:pPr>
          </w:p>
        </w:tc>
      </w:tr>
      <w:tr w14:paraId="4CFF4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37060307">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516AF741">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624FDF2F">
            <w:pPr>
              <w:pStyle w:val="42"/>
              <w:rPr>
                <w:color w:val="000000" w:themeColor="text1"/>
                <w14:textFill>
                  <w14:solidFill>
                    <w14:schemeClr w14:val="tx1"/>
                  </w14:solidFill>
                </w14:textFill>
              </w:rPr>
            </w:pPr>
          </w:p>
        </w:tc>
        <w:tc>
          <w:tcPr>
            <w:tcW w:w="720" w:type="dxa"/>
            <w:vAlign w:val="center"/>
          </w:tcPr>
          <w:p w14:paraId="632484D9">
            <w:pPr>
              <w:pStyle w:val="42"/>
              <w:rPr>
                <w:color w:val="000000" w:themeColor="text1"/>
                <w14:textFill>
                  <w14:solidFill>
                    <w14:schemeClr w14:val="tx1"/>
                  </w14:solidFill>
                </w14:textFill>
              </w:rPr>
            </w:pPr>
          </w:p>
        </w:tc>
      </w:tr>
    </w:tbl>
    <w:p w14:paraId="55ED1C41">
      <w:pPr>
        <w:rPr>
          <w:color w:val="000000" w:themeColor="text1"/>
          <w14:textFill>
            <w14:solidFill>
              <w14:schemeClr w14:val="tx1"/>
            </w14:solidFill>
          </w14:textFill>
        </w:rPr>
      </w:pPr>
    </w:p>
    <w:p w14:paraId="6C7A3D69">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84" w:name="_Toc19985"/>
      <w:bookmarkStart w:id="85" w:name="_Toc4882"/>
      <w:bookmarkStart w:id="86" w:name="_Toc10897"/>
      <w:r>
        <w:rPr>
          <w:rFonts w:hint="eastAsia"/>
          <w:color w:val="000000" w:themeColor="text1"/>
          <w14:textFill>
            <w14:solidFill>
              <w14:schemeClr w14:val="tx1"/>
            </w14:solidFill>
          </w14:textFill>
        </w:rPr>
        <w:t>表28  架桥机检查</w:t>
      </w:r>
      <w:r>
        <w:rPr>
          <w:color w:val="000000" w:themeColor="text1"/>
          <w14:textFill>
            <w14:solidFill>
              <w14:schemeClr w14:val="tx1"/>
            </w14:solidFill>
          </w14:textFill>
        </w:rPr>
        <w:t>评分表</w:t>
      </w:r>
      <w:bookmarkEnd w:id="84"/>
      <w:bookmarkEnd w:id="85"/>
      <w:bookmarkEnd w:id="86"/>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732"/>
        <w:gridCol w:w="568"/>
        <w:gridCol w:w="720"/>
        <w:gridCol w:w="720"/>
      </w:tblGrid>
      <w:tr w14:paraId="429DD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09C5FD5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231A49F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732" w:type="dxa"/>
            <w:vAlign w:val="center"/>
          </w:tcPr>
          <w:p w14:paraId="3745E1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568" w:type="dxa"/>
            <w:vAlign w:val="center"/>
          </w:tcPr>
          <w:p w14:paraId="457D9E1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1C5B14E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20734E8B">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F2CEA09">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20FE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124897DA">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77FAD46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6C7712D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6EF06D3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F73977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73A5411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施工方案与技术交底</w:t>
            </w:r>
          </w:p>
        </w:tc>
        <w:tc>
          <w:tcPr>
            <w:tcW w:w="5732" w:type="dxa"/>
            <w:vAlign w:val="center"/>
          </w:tcPr>
          <w:p w14:paraId="4971EAF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82BBAD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）当架桥机采用非定型产品时，未行专门的设计计算或确认，扣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BACC40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）工作高度超过</w:t>
            </w:r>
            <w:r>
              <w:rPr>
                <w:color w:val="000000" w:themeColor="text1"/>
                <w14:textFill>
                  <w14:solidFill>
                    <w14:schemeClr w14:val="tx1"/>
                  </w14:solidFill>
                </w14:textFill>
              </w:rPr>
              <w:t>10m</w:t>
            </w:r>
            <w:r>
              <w:rPr>
                <w:rFonts w:hint="eastAsia"/>
                <w:color w:val="000000" w:themeColor="text1"/>
                <w14:textFill>
                  <w14:solidFill>
                    <w14:schemeClr w14:val="tx1"/>
                  </w14:solidFill>
                </w14:textFill>
              </w:rPr>
              <w:t>、城市道桥单跨跨度大于</w:t>
            </w:r>
            <w:r>
              <w:rPr>
                <w:color w:val="000000" w:themeColor="text1"/>
                <w14:textFill>
                  <w14:solidFill>
                    <w14:schemeClr w14:val="tx1"/>
                  </w14:solidFill>
                </w14:textFill>
              </w:rPr>
              <w:t>20m</w:t>
            </w:r>
            <w:r>
              <w:rPr>
                <w:rFonts w:hint="eastAsia"/>
                <w:color w:val="000000" w:themeColor="text1"/>
                <w14:textFill>
                  <w14:solidFill>
                    <w14:schemeClr w14:val="tx1"/>
                  </w14:solidFill>
                </w14:textFill>
              </w:rPr>
              <w:t>或单根预制梁重量大于</w:t>
            </w:r>
            <w:r>
              <w:rPr>
                <w:color w:val="000000" w:themeColor="text1"/>
                <w14:textFill>
                  <w14:solidFill>
                    <w14:schemeClr w14:val="tx1"/>
                  </w14:solidFill>
                </w14:textFill>
              </w:rPr>
              <w:t>600kN</w:t>
            </w:r>
            <w:r>
              <w:rPr>
                <w:rFonts w:hint="eastAsia"/>
                <w:color w:val="000000" w:themeColor="text1"/>
                <w14:textFill>
                  <w14:solidFill>
                    <w14:schemeClr w14:val="tx1"/>
                  </w14:solidFill>
                </w14:textFill>
              </w:rPr>
              <w:t>的架桥机专项施工方案，施工单位未按规定组织专家论证，扣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BB7D08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）专项施工方案未规定进行审核、审批，扣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B90E3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568" w:type="dxa"/>
            <w:vAlign w:val="center"/>
          </w:tcPr>
          <w:p w14:paraId="6247895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0A30931">
            <w:pPr>
              <w:pStyle w:val="42"/>
              <w:rPr>
                <w:color w:val="000000" w:themeColor="text1"/>
                <w14:textFill>
                  <w14:solidFill>
                    <w14:schemeClr w14:val="tx1"/>
                  </w14:solidFill>
                </w14:textFill>
              </w:rPr>
            </w:pPr>
          </w:p>
        </w:tc>
        <w:tc>
          <w:tcPr>
            <w:tcW w:w="720" w:type="dxa"/>
            <w:vAlign w:val="center"/>
          </w:tcPr>
          <w:p w14:paraId="7E76BDD4">
            <w:pPr>
              <w:pStyle w:val="42"/>
              <w:rPr>
                <w:color w:val="000000" w:themeColor="text1"/>
                <w14:textFill>
                  <w14:solidFill>
                    <w14:schemeClr w14:val="tx1"/>
                  </w14:solidFill>
                </w14:textFill>
              </w:rPr>
            </w:pPr>
          </w:p>
        </w:tc>
      </w:tr>
      <w:tr w14:paraId="571BF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04E9B7D9">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DA45BBB">
            <w:pPr>
              <w:pStyle w:val="42"/>
              <w:rPr>
                <w:color w:val="000000" w:themeColor="text1"/>
                <w14:textFill>
                  <w14:solidFill>
                    <w14:schemeClr w14:val="tx1"/>
                  </w14:solidFill>
                </w14:textFill>
              </w:rPr>
            </w:pPr>
          </w:p>
        </w:tc>
        <w:tc>
          <w:tcPr>
            <w:tcW w:w="898" w:type="dxa"/>
            <w:vAlign w:val="center"/>
          </w:tcPr>
          <w:p w14:paraId="1D68AAA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结构设施及零部件</w:t>
            </w:r>
          </w:p>
        </w:tc>
        <w:tc>
          <w:tcPr>
            <w:tcW w:w="5732" w:type="dxa"/>
            <w:vAlign w:val="center"/>
          </w:tcPr>
          <w:p w14:paraId="0CD64D1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）主要受力结构件有明显变形、开焊、裂缝及严重锈蚀等现象</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B1962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）高强螺栓、销轴、紧固件的紧固、连接不符合产品说明书及标准要求，扣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115BC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）平台、通道、梯子、护栏设置不符合产品说明书及标准要求，扣</w:t>
            </w:r>
            <w:r>
              <w:rPr>
                <w:color w:val="000000" w:themeColor="text1"/>
                <w14:textFill>
                  <w14:solidFill>
                    <w14:schemeClr w14:val="tx1"/>
                  </w14:solidFill>
                </w14:textFill>
              </w:rPr>
              <w:t>4-8</w:t>
            </w:r>
            <w:r>
              <w:rPr>
                <w:rFonts w:hint="eastAsia"/>
                <w:color w:val="000000" w:themeColor="text1"/>
                <w14:textFill>
                  <w14:solidFill>
                    <w14:schemeClr w14:val="tx1"/>
                  </w14:solidFill>
                </w14:textFill>
              </w:rPr>
              <w:t>分</w:t>
            </w:r>
          </w:p>
          <w:p w14:paraId="44EC477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）司机室的设置不符合标准要求，扣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1F5CF9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）吊钩、滑轮、卷筒达到报废标准，扣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E4A84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）吊钩、滑轮、卷筒未安装完好可靠的钢丝绳防脱装置，扣</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14:paraId="2BE888A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）钢丝绳达到报废标准，扣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1ED0B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）钢丝绳的规格、型号、穿绕不符合产品说明书要求，扣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分；端部固接方式不符合标准要求，扣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403B5C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当吊钩处于最低位置时，卷筒上钢丝绳少于</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圈，扣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1128452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车轮、传动齿轮达到报废标准，扣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568" w:type="dxa"/>
            <w:vAlign w:val="center"/>
          </w:tcPr>
          <w:p w14:paraId="471CCC3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D21026D">
            <w:pPr>
              <w:pStyle w:val="42"/>
              <w:rPr>
                <w:color w:val="000000" w:themeColor="text1"/>
                <w14:textFill>
                  <w14:solidFill>
                    <w14:schemeClr w14:val="tx1"/>
                  </w14:solidFill>
                </w14:textFill>
              </w:rPr>
            </w:pPr>
          </w:p>
        </w:tc>
        <w:tc>
          <w:tcPr>
            <w:tcW w:w="720" w:type="dxa"/>
            <w:vAlign w:val="center"/>
          </w:tcPr>
          <w:p w14:paraId="6ABF876D">
            <w:pPr>
              <w:pStyle w:val="42"/>
              <w:rPr>
                <w:color w:val="000000" w:themeColor="text1"/>
                <w14:textFill>
                  <w14:solidFill>
                    <w14:schemeClr w14:val="tx1"/>
                  </w14:solidFill>
                </w14:textFill>
              </w:rPr>
            </w:pPr>
          </w:p>
        </w:tc>
      </w:tr>
      <w:tr w14:paraId="15929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2FD44DE">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BAAFB0B">
            <w:pPr>
              <w:pStyle w:val="42"/>
              <w:rPr>
                <w:color w:val="000000" w:themeColor="text1"/>
                <w14:textFill>
                  <w14:solidFill>
                    <w14:schemeClr w14:val="tx1"/>
                  </w14:solidFill>
                </w14:textFill>
              </w:rPr>
            </w:pPr>
          </w:p>
        </w:tc>
        <w:tc>
          <w:tcPr>
            <w:tcW w:w="898" w:type="dxa"/>
            <w:vAlign w:val="center"/>
          </w:tcPr>
          <w:p w14:paraId="69E7370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安全装置</w:t>
            </w:r>
          </w:p>
        </w:tc>
        <w:tc>
          <w:tcPr>
            <w:tcW w:w="5732" w:type="dxa"/>
            <w:vAlign w:val="center"/>
          </w:tcPr>
          <w:p w14:paraId="2B5956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）未设置起升高度限制器和行程限位器或不灵敏，扣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27558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）运行机构未设缓冲装置，扣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分；端部止挡装置不牢固可靠，扣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135DC4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）未设置起重量限制器或不灵敏，扣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692E98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）未设置支腿机械锁定装置或不灵敏，扣</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14:paraId="1F243DA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）未设置安全制动器或不灵敏，扣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1B24D8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）未设置超速开关或不灵敏，扣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92228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）未设置锚定装置或未按标准要求进行有效锚定，扣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00E361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）未设置抗风防滑装置或不灵敏，扣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0F95C8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）未按标准要求设置联锁保护装置或不灵敏，扣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165D55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）未设置可正常使用的风速仪和防护罩，扣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568" w:type="dxa"/>
            <w:vAlign w:val="center"/>
          </w:tcPr>
          <w:p w14:paraId="5EACF8A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69A23D3">
            <w:pPr>
              <w:pStyle w:val="42"/>
              <w:rPr>
                <w:color w:val="000000" w:themeColor="text1"/>
                <w14:textFill>
                  <w14:solidFill>
                    <w14:schemeClr w14:val="tx1"/>
                  </w14:solidFill>
                </w14:textFill>
              </w:rPr>
            </w:pPr>
          </w:p>
        </w:tc>
        <w:tc>
          <w:tcPr>
            <w:tcW w:w="720" w:type="dxa"/>
            <w:vAlign w:val="center"/>
          </w:tcPr>
          <w:p w14:paraId="22DC42A9">
            <w:pPr>
              <w:pStyle w:val="42"/>
              <w:rPr>
                <w:color w:val="000000" w:themeColor="text1"/>
                <w14:textFill>
                  <w14:solidFill>
                    <w14:schemeClr w14:val="tx1"/>
                  </w14:solidFill>
                </w14:textFill>
              </w:rPr>
            </w:pPr>
          </w:p>
        </w:tc>
      </w:tr>
      <w:tr w14:paraId="21B1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301EDD0">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38E14FEC">
            <w:pPr>
              <w:pStyle w:val="42"/>
              <w:rPr>
                <w:color w:val="000000" w:themeColor="text1"/>
                <w14:textFill>
                  <w14:solidFill>
                    <w14:schemeClr w14:val="tx1"/>
                  </w14:solidFill>
                </w14:textFill>
              </w:rPr>
            </w:pPr>
          </w:p>
        </w:tc>
        <w:tc>
          <w:tcPr>
            <w:tcW w:w="898" w:type="dxa"/>
            <w:vAlign w:val="center"/>
          </w:tcPr>
          <w:p w14:paraId="7A1F9EF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安装、拆卸与验收</w:t>
            </w:r>
          </w:p>
        </w:tc>
        <w:tc>
          <w:tcPr>
            <w:tcW w:w="5732" w:type="dxa"/>
            <w:vAlign w:val="center"/>
          </w:tcPr>
          <w:p w14:paraId="4103EEF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）无制造许可证、产品合格证、备案证明和安装使用说明书，扣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86BA7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）安装、拆卸单位无起重设备安装工程专业承包资质和施工企业安全生产许可证，扣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D8D92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）安装、拆卸作业人员未取得特种作业资格证书，扣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0537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）恶劣天气条件进行架桥机安、拆工作，扣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73B5A2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）未对架桥机主梁和横移轨道进行调平或无自锁功能，扣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B6B562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）架桥机轨道上枕木、道钉、压板等设施不符合标准要求；</w:t>
            </w:r>
          </w:p>
          <w:p w14:paraId="5EC3B1F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）当遇特殊情况中断安装、拆卸作业时，未切断电源或未将已安拆部分进行临时固，扣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5BDE47C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）架桥机主机对位后，无可靠的制动措施，扣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504653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）未规定履行验收程序或未经责任人签字，扣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034C5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）验收后未办理使用登记，扣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568" w:type="dxa"/>
            <w:vAlign w:val="center"/>
          </w:tcPr>
          <w:p w14:paraId="29BA7BF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E134176">
            <w:pPr>
              <w:pStyle w:val="42"/>
              <w:rPr>
                <w:color w:val="000000" w:themeColor="text1"/>
                <w14:textFill>
                  <w14:solidFill>
                    <w14:schemeClr w14:val="tx1"/>
                  </w14:solidFill>
                </w14:textFill>
              </w:rPr>
            </w:pPr>
          </w:p>
        </w:tc>
        <w:tc>
          <w:tcPr>
            <w:tcW w:w="720" w:type="dxa"/>
            <w:vAlign w:val="center"/>
          </w:tcPr>
          <w:p w14:paraId="3BA1AE3E">
            <w:pPr>
              <w:pStyle w:val="42"/>
              <w:rPr>
                <w:color w:val="000000" w:themeColor="text1"/>
                <w14:textFill>
                  <w14:solidFill>
                    <w14:schemeClr w14:val="tx1"/>
                  </w14:solidFill>
                </w14:textFill>
              </w:rPr>
            </w:pPr>
          </w:p>
        </w:tc>
      </w:tr>
      <w:tr w14:paraId="2F92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64C404AF">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5566DD4B">
            <w:pPr>
              <w:pStyle w:val="42"/>
              <w:rPr>
                <w:color w:val="000000" w:themeColor="text1"/>
                <w14:textFill>
                  <w14:solidFill>
                    <w14:schemeClr w14:val="tx1"/>
                  </w14:solidFill>
                </w14:textFill>
              </w:rPr>
            </w:pPr>
          </w:p>
        </w:tc>
        <w:tc>
          <w:tcPr>
            <w:tcW w:w="898" w:type="dxa"/>
            <w:vAlign w:val="center"/>
          </w:tcPr>
          <w:p w14:paraId="591C6F0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梁体运输</w:t>
            </w:r>
          </w:p>
        </w:tc>
        <w:tc>
          <w:tcPr>
            <w:tcW w:w="5732" w:type="dxa"/>
            <w:vAlign w:val="center"/>
          </w:tcPr>
          <w:p w14:paraId="78FF38B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）运梁通道未作硬化处理，扣</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14:paraId="68D0C0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）地基承载力不符合设计要求，扣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44131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）运梁车司机未经专业培训或未取得相应资格证，扣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15D6A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）运梁时无专人负责指挥，扣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F8EC68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）运送</w:t>
            </w:r>
            <w:r>
              <w:rPr>
                <w:color w:val="000000" w:themeColor="text1"/>
                <w14:textFill>
                  <w14:solidFill>
                    <w14:schemeClr w14:val="tx1"/>
                  </w14:solidFill>
                </w14:textFill>
              </w:rPr>
              <w:t>T</w:t>
            </w:r>
            <w:r>
              <w:rPr>
                <w:rFonts w:hint="eastAsia"/>
                <w:color w:val="000000" w:themeColor="text1"/>
                <w14:textFill>
                  <w14:solidFill>
                    <w14:schemeClr w14:val="tx1"/>
                  </w14:solidFill>
                </w14:textFill>
              </w:rPr>
              <w:t>梁时，未按规定对</w:t>
            </w:r>
            <w:r>
              <w:rPr>
                <w:color w:val="000000" w:themeColor="text1"/>
                <w14:textFill>
                  <w14:solidFill>
                    <w14:schemeClr w14:val="tx1"/>
                  </w14:solidFill>
                </w14:textFill>
              </w:rPr>
              <w:t>T</w:t>
            </w:r>
            <w:r>
              <w:rPr>
                <w:rFonts w:hint="eastAsia"/>
                <w:color w:val="000000" w:themeColor="text1"/>
                <w14:textFill>
                  <w14:solidFill>
                    <w14:schemeClr w14:val="tx1"/>
                  </w14:solidFill>
                </w14:textFill>
              </w:rPr>
              <w:t>梁采取有效固定措施，扣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AEC3E0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）运梁车制动器不灵敏，扣</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14:paraId="576772F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）运梁车载重运行时未匀速前进或速度过快，扣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727156F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）下坡道架梁时，运梁车无可靠的防溜措施，扣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16731B3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）运梁时，梁体两侧安全范围内有人员停留，每人次扣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568" w:type="dxa"/>
            <w:vAlign w:val="center"/>
          </w:tcPr>
          <w:p w14:paraId="26B21A9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5CE3382">
            <w:pPr>
              <w:pStyle w:val="42"/>
              <w:rPr>
                <w:color w:val="000000" w:themeColor="text1"/>
                <w14:textFill>
                  <w14:solidFill>
                    <w14:schemeClr w14:val="tx1"/>
                  </w14:solidFill>
                </w14:textFill>
              </w:rPr>
            </w:pPr>
          </w:p>
        </w:tc>
        <w:tc>
          <w:tcPr>
            <w:tcW w:w="720" w:type="dxa"/>
            <w:vAlign w:val="center"/>
          </w:tcPr>
          <w:p w14:paraId="6BC663D3">
            <w:pPr>
              <w:pStyle w:val="42"/>
              <w:rPr>
                <w:color w:val="000000" w:themeColor="text1"/>
                <w14:textFill>
                  <w14:solidFill>
                    <w14:schemeClr w14:val="tx1"/>
                  </w14:solidFill>
                </w14:textFill>
              </w:rPr>
            </w:pPr>
          </w:p>
        </w:tc>
      </w:tr>
      <w:tr w14:paraId="604A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872F6C3">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0D700A73">
            <w:pPr>
              <w:pStyle w:val="42"/>
              <w:rPr>
                <w:color w:val="000000" w:themeColor="text1"/>
                <w14:textFill>
                  <w14:solidFill>
                    <w14:schemeClr w14:val="tx1"/>
                  </w14:solidFill>
                </w14:textFill>
              </w:rPr>
            </w:pPr>
          </w:p>
        </w:tc>
        <w:tc>
          <w:tcPr>
            <w:tcW w:w="898" w:type="dxa"/>
            <w:vAlign w:val="center"/>
          </w:tcPr>
          <w:p w14:paraId="680C192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梁体架设</w:t>
            </w:r>
          </w:p>
        </w:tc>
        <w:tc>
          <w:tcPr>
            <w:tcW w:w="5732" w:type="dxa"/>
            <w:vAlign w:val="center"/>
          </w:tcPr>
          <w:p w14:paraId="568E46E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）未在显著位置悬挂安全使用规程，扣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BAE7C4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）架桥机操作人员无相应特种作业资格证，扣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397C8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）待架梁的自重和外形尺寸超出架桥机作业能力覆盖范围，扣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DB117C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）两端同时起吊梁体，扣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分；单端起吊后梁体倾斜度超过梁体设计规定，扣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0D788E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）采用拖拉喂梁时吊梁小车与运梁车驮梁小车行走不同步，扣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A0AC3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T</w:t>
            </w:r>
            <w:r>
              <w:rPr>
                <w:rFonts w:hint="eastAsia"/>
                <w:color w:val="000000" w:themeColor="text1"/>
                <w14:textFill>
                  <w14:solidFill>
                    <w14:schemeClr w14:val="tx1"/>
                  </w14:solidFill>
                </w14:textFill>
              </w:rPr>
              <w:t>梁梁体架设后未及时对梁体两侧进行有效支撑，扣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70870E5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）架桥机过跨前，梁片横隔板未焊接，或未按设计要求张拉预应力筋，扣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568" w:type="dxa"/>
            <w:vAlign w:val="center"/>
          </w:tcPr>
          <w:p w14:paraId="4DB1C62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F8053AA">
            <w:pPr>
              <w:pStyle w:val="42"/>
              <w:rPr>
                <w:color w:val="000000" w:themeColor="text1"/>
                <w14:textFill>
                  <w14:solidFill>
                    <w14:schemeClr w14:val="tx1"/>
                  </w14:solidFill>
                </w14:textFill>
              </w:rPr>
            </w:pPr>
          </w:p>
        </w:tc>
        <w:tc>
          <w:tcPr>
            <w:tcW w:w="720" w:type="dxa"/>
            <w:vAlign w:val="center"/>
          </w:tcPr>
          <w:p w14:paraId="0BDFA58A">
            <w:pPr>
              <w:pStyle w:val="42"/>
              <w:rPr>
                <w:color w:val="000000" w:themeColor="text1"/>
                <w14:textFill>
                  <w14:solidFill>
                    <w14:schemeClr w14:val="tx1"/>
                  </w14:solidFill>
                </w14:textFill>
              </w:rPr>
            </w:pPr>
          </w:p>
        </w:tc>
      </w:tr>
      <w:tr w14:paraId="7952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B813801">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48115589">
            <w:pPr>
              <w:pStyle w:val="42"/>
              <w:rPr>
                <w:color w:val="000000" w:themeColor="text1"/>
                <w14:textFill>
                  <w14:solidFill>
                    <w14:schemeClr w14:val="tx1"/>
                  </w14:solidFill>
                </w14:textFill>
              </w:rPr>
            </w:pPr>
          </w:p>
        </w:tc>
        <w:tc>
          <w:tcPr>
            <w:tcW w:w="898" w:type="dxa"/>
            <w:vAlign w:val="center"/>
          </w:tcPr>
          <w:p w14:paraId="3E61C08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调试与试验</w:t>
            </w:r>
          </w:p>
        </w:tc>
        <w:tc>
          <w:tcPr>
            <w:tcW w:w="5732" w:type="dxa"/>
            <w:vAlign w:val="center"/>
          </w:tcPr>
          <w:p w14:paraId="183D415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）架桥机安装完成后未进行调试，扣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分；调试内容不全面，扣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013960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）架桥机拼装调整完毕后未进行试运行，扣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分；未检验架桥机吊梁小车、制动系统、液压电气系统的运行情况，扣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64C1E0C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）架桥机调试完成后未按规定进行试吊，扣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721B7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）架桥机未经常性调试或无调试记录，扣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90245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）未根据使用条件进行试验或无试验记录，扣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9EC5D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）试验记录内容不全，扣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tc>
        <w:tc>
          <w:tcPr>
            <w:tcW w:w="568" w:type="dxa"/>
            <w:vAlign w:val="center"/>
          </w:tcPr>
          <w:p w14:paraId="738C0AD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0A28387">
            <w:pPr>
              <w:pStyle w:val="42"/>
              <w:rPr>
                <w:color w:val="000000" w:themeColor="text1"/>
                <w14:textFill>
                  <w14:solidFill>
                    <w14:schemeClr w14:val="tx1"/>
                  </w14:solidFill>
                </w14:textFill>
              </w:rPr>
            </w:pPr>
          </w:p>
        </w:tc>
        <w:tc>
          <w:tcPr>
            <w:tcW w:w="720" w:type="dxa"/>
            <w:vAlign w:val="center"/>
          </w:tcPr>
          <w:p w14:paraId="506D6A66">
            <w:pPr>
              <w:pStyle w:val="42"/>
              <w:rPr>
                <w:color w:val="000000" w:themeColor="text1"/>
                <w14:textFill>
                  <w14:solidFill>
                    <w14:schemeClr w14:val="tx1"/>
                  </w14:solidFill>
                </w14:textFill>
              </w:rPr>
            </w:pPr>
          </w:p>
        </w:tc>
      </w:tr>
      <w:tr w14:paraId="0D39B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31" w:hRule="atLeast"/>
        </w:trPr>
        <w:tc>
          <w:tcPr>
            <w:tcW w:w="539" w:type="dxa"/>
            <w:vAlign w:val="center"/>
          </w:tcPr>
          <w:p w14:paraId="32933423">
            <w:pPr>
              <w:pStyle w:val="42"/>
              <w:rPr>
                <w:color w:val="000000" w:themeColor="text1"/>
                <w14:textFill>
                  <w14:solidFill>
                    <w14:schemeClr w14:val="tx1"/>
                  </w14:solidFill>
                </w14:textFill>
              </w:rPr>
            </w:pPr>
          </w:p>
        </w:tc>
        <w:tc>
          <w:tcPr>
            <w:tcW w:w="543" w:type="dxa"/>
            <w:vMerge w:val="continue"/>
            <w:vAlign w:val="center"/>
          </w:tcPr>
          <w:p w14:paraId="5373B664">
            <w:pPr>
              <w:pStyle w:val="42"/>
              <w:rPr>
                <w:color w:val="000000" w:themeColor="text1"/>
                <w14:textFill>
                  <w14:solidFill>
                    <w14:schemeClr w14:val="tx1"/>
                  </w14:solidFill>
                </w14:textFill>
              </w:rPr>
            </w:pPr>
          </w:p>
        </w:tc>
        <w:tc>
          <w:tcPr>
            <w:tcW w:w="6630" w:type="dxa"/>
            <w:gridSpan w:val="2"/>
            <w:vAlign w:val="center"/>
          </w:tcPr>
          <w:p w14:paraId="1DA311CC">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568" w:type="dxa"/>
            <w:vAlign w:val="center"/>
          </w:tcPr>
          <w:p w14:paraId="57C33598">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4EC3021C">
            <w:pPr>
              <w:pStyle w:val="42"/>
              <w:rPr>
                <w:color w:val="000000" w:themeColor="text1"/>
                <w14:textFill>
                  <w14:solidFill>
                    <w14:schemeClr w14:val="tx1"/>
                  </w14:solidFill>
                </w14:textFill>
              </w:rPr>
            </w:pPr>
          </w:p>
        </w:tc>
        <w:tc>
          <w:tcPr>
            <w:tcW w:w="720" w:type="dxa"/>
            <w:vAlign w:val="center"/>
          </w:tcPr>
          <w:p w14:paraId="39100D08">
            <w:pPr>
              <w:pStyle w:val="42"/>
              <w:rPr>
                <w:color w:val="000000" w:themeColor="text1"/>
                <w14:textFill>
                  <w14:solidFill>
                    <w14:schemeClr w14:val="tx1"/>
                  </w14:solidFill>
                </w14:textFill>
              </w:rPr>
            </w:pPr>
          </w:p>
        </w:tc>
      </w:tr>
      <w:tr w14:paraId="24C9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54454118">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74C3965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75BBD70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1520722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4294C6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E49BFF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检查与维护</w:t>
            </w:r>
          </w:p>
        </w:tc>
        <w:tc>
          <w:tcPr>
            <w:tcW w:w="5732" w:type="dxa"/>
            <w:vAlign w:val="center"/>
          </w:tcPr>
          <w:p w14:paraId="25293E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）未对架桥机进行日常检查，扣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B3D7F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）未制定周期检查计划或未进行定期检查，扣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77C6AE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）架桥机停止使用一个月以上，使用前未按规定进行检查，扣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5AFC55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）无预防性的维护计划或无维护记录，扣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568" w:type="dxa"/>
            <w:vAlign w:val="center"/>
          </w:tcPr>
          <w:p w14:paraId="73979EB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882D50E">
            <w:pPr>
              <w:pStyle w:val="42"/>
              <w:rPr>
                <w:color w:val="000000" w:themeColor="text1"/>
                <w14:textFill>
                  <w14:solidFill>
                    <w14:schemeClr w14:val="tx1"/>
                  </w14:solidFill>
                </w14:textFill>
              </w:rPr>
            </w:pPr>
          </w:p>
        </w:tc>
        <w:tc>
          <w:tcPr>
            <w:tcW w:w="720" w:type="dxa"/>
            <w:vAlign w:val="center"/>
          </w:tcPr>
          <w:p w14:paraId="42CC2B6D">
            <w:pPr>
              <w:pStyle w:val="42"/>
              <w:rPr>
                <w:color w:val="000000" w:themeColor="text1"/>
                <w14:textFill>
                  <w14:solidFill>
                    <w14:schemeClr w14:val="tx1"/>
                  </w14:solidFill>
                </w14:textFill>
              </w:rPr>
            </w:pPr>
          </w:p>
        </w:tc>
      </w:tr>
      <w:tr w14:paraId="6ADCF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E3313D2">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14D950A6">
            <w:pPr>
              <w:pStyle w:val="42"/>
              <w:rPr>
                <w:color w:val="000000" w:themeColor="text1"/>
                <w14:textFill>
                  <w14:solidFill>
                    <w14:schemeClr w14:val="tx1"/>
                  </w14:solidFill>
                </w14:textFill>
              </w:rPr>
            </w:pPr>
          </w:p>
        </w:tc>
        <w:tc>
          <w:tcPr>
            <w:tcW w:w="898" w:type="dxa"/>
            <w:vAlign w:val="center"/>
          </w:tcPr>
          <w:p w14:paraId="4939DAA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电气设备</w:t>
            </w:r>
          </w:p>
        </w:tc>
        <w:tc>
          <w:tcPr>
            <w:tcW w:w="5732" w:type="dxa"/>
            <w:vAlign w:val="center"/>
          </w:tcPr>
          <w:p w14:paraId="09FCE9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）未在操作处、承载支腿处等可方便控制的位置设置非自动复位型紧急断电开关或不灵敏，扣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8424D2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）架桥机在其他防雷保护范围以外未设置避雷装置，扣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分，避雷装置不符合相关标准要求，扣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5AFB3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）金属结构和所有电气设备系统金属外壳未进行可靠接地，扣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39201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）架桥机与架空线路的安全距离不符合标准要求时，未采取防护措施，扣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A8A969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）架桥机上的电线未敷设于线槽或金属管中或未穿金属软管，扣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EA0C08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）作业面照明亮度不够，扣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88070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）照明回路未单独供电或未设短路保护，扣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8C3BB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）电气绝缘电阻小于相关标准要求，扣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568" w:type="dxa"/>
            <w:vAlign w:val="center"/>
          </w:tcPr>
          <w:p w14:paraId="0880260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4060623">
            <w:pPr>
              <w:pStyle w:val="42"/>
              <w:rPr>
                <w:color w:val="000000" w:themeColor="text1"/>
                <w14:textFill>
                  <w14:solidFill>
                    <w14:schemeClr w14:val="tx1"/>
                  </w14:solidFill>
                </w14:textFill>
              </w:rPr>
            </w:pPr>
          </w:p>
        </w:tc>
        <w:tc>
          <w:tcPr>
            <w:tcW w:w="720" w:type="dxa"/>
            <w:vAlign w:val="center"/>
          </w:tcPr>
          <w:p w14:paraId="2EACD35B">
            <w:pPr>
              <w:pStyle w:val="42"/>
              <w:rPr>
                <w:color w:val="000000" w:themeColor="text1"/>
                <w14:textFill>
                  <w14:solidFill>
                    <w14:schemeClr w14:val="tx1"/>
                  </w14:solidFill>
                </w14:textFill>
              </w:rPr>
            </w:pPr>
          </w:p>
        </w:tc>
      </w:tr>
      <w:tr w14:paraId="750BF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233" w:hRule="atLeast"/>
        </w:trPr>
        <w:tc>
          <w:tcPr>
            <w:tcW w:w="539" w:type="dxa"/>
            <w:vAlign w:val="center"/>
          </w:tcPr>
          <w:p w14:paraId="79BD0B0F">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083EF28A">
            <w:pPr>
              <w:pStyle w:val="42"/>
              <w:rPr>
                <w:color w:val="000000" w:themeColor="text1"/>
                <w14:textFill>
                  <w14:solidFill>
                    <w14:schemeClr w14:val="tx1"/>
                  </w14:solidFill>
                </w14:textFill>
              </w:rPr>
            </w:pPr>
          </w:p>
        </w:tc>
        <w:tc>
          <w:tcPr>
            <w:tcW w:w="898" w:type="dxa"/>
            <w:vAlign w:val="center"/>
          </w:tcPr>
          <w:p w14:paraId="7E7165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732" w:type="dxa"/>
            <w:vAlign w:val="center"/>
          </w:tcPr>
          <w:p w14:paraId="6F494E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）未在醒目位置设置安全警示标志，扣</w:t>
            </w:r>
            <w:r>
              <w:rPr>
                <w:color w:val="000000" w:themeColor="text1"/>
                <w14:textFill>
                  <w14:solidFill>
                    <w14:schemeClr w14:val="tx1"/>
                  </w14:solidFill>
                </w14:textFill>
              </w:rPr>
              <w:t>3-6</w:t>
            </w:r>
            <w:r>
              <w:rPr>
                <w:rFonts w:hint="eastAsia"/>
                <w:color w:val="000000" w:themeColor="text1"/>
                <w14:textFill>
                  <w14:solidFill>
                    <w14:schemeClr w14:val="tx1"/>
                  </w14:solidFill>
                </w14:textFill>
              </w:rPr>
              <w:t>分</w:t>
            </w:r>
          </w:p>
          <w:p w14:paraId="04CEF7E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）全区域未设置围栏或警戒线，扣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1C4C66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）架梁时未安装吊篮、步板、梯子等安全防护设施，扣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092825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）横向连接、湿接缝施工未安装工作平台或吊篮，扣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E10EB5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）架桥机位于通车道路、河道上方时，架桥机下方未设置防护棚，扣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分；防护棚设置不符合规定，扣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61438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）水上施工时未设置防护和救生设施，扣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C428D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）每一跨预制梁架设完毕后未及时按临边作业要求搭设桥梁两边的防护栏杆，扣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1025A4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）同跨预制梁间未设置安全兜网，扣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568" w:type="dxa"/>
            <w:vAlign w:val="center"/>
          </w:tcPr>
          <w:p w14:paraId="382001B3">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8F2A53C">
            <w:pPr>
              <w:pStyle w:val="42"/>
              <w:rPr>
                <w:color w:val="000000" w:themeColor="text1"/>
                <w14:textFill>
                  <w14:solidFill>
                    <w14:schemeClr w14:val="tx1"/>
                  </w14:solidFill>
                </w14:textFill>
              </w:rPr>
            </w:pPr>
          </w:p>
        </w:tc>
        <w:tc>
          <w:tcPr>
            <w:tcW w:w="720" w:type="dxa"/>
            <w:vAlign w:val="center"/>
          </w:tcPr>
          <w:p w14:paraId="6C626A97">
            <w:pPr>
              <w:pStyle w:val="42"/>
              <w:rPr>
                <w:color w:val="000000" w:themeColor="text1"/>
                <w14:textFill>
                  <w14:solidFill>
                    <w14:schemeClr w14:val="tx1"/>
                  </w14:solidFill>
                </w14:textFill>
              </w:rPr>
            </w:pPr>
          </w:p>
        </w:tc>
      </w:tr>
      <w:tr w14:paraId="4A73E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06" w:hRule="atLeast"/>
        </w:trPr>
        <w:tc>
          <w:tcPr>
            <w:tcW w:w="539" w:type="dxa"/>
            <w:vAlign w:val="center"/>
          </w:tcPr>
          <w:p w14:paraId="4A608743">
            <w:pPr>
              <w:pStyle w:val="42"/>
              <w:rPr>
                <w:color w:val="000000" w:themeColor="text1"/>
                <w14:textFill>
                  <w14:solidFill>
                    <w14:schemeClr w14:val="tx1"/>
                  </w14:solidFill>
                </w14:textFill>
              </w:rPr>
            </w:pPr>
          </w:p>
        </w:tc>
        <w:tc>
          <w:tcPr>
            <w:tcW w:w="543" w:type="dxa"/>
            <w:vMerge w:val="continue"/>
          </w:tcPr>
          <w:p w14:paraId="56678675">
            <w:pPr>
              <w:pStyle w:val="42"/>
              <w:rPr>
                <w:color w:val="000000" w:themeColor="text1"/>
                <w14:textFill>
                  <w14:solidFill>
                    <w14:schemeClr w14:val="tx1"/>
                  </w14:solidFill>
                </w14:textFill>
              </w:rPr>
            </w:pPr>
          </w:p>
        </w:tc>
        <w:tc>
          <w:tcPr>
            <w:tcW w:w="6630" w:type="dxa"/>
            <w:gridSpan w:val="2"/>
            <w:vAlign w:val="center"/>
          </w:tcPr>
          <w:p w14:paraId="6EB18807">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568" w:type="dxa"/>
            <w:vAlign w:val="center"/>
          </w:tcPr>
          <w:p w14:paraId="36DDC013">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54E2EA2D">
            <w:pPr>
              <w:pStyle w:val="42"/>
              <w:rPr>
                <w:color w:val="000000" w:themeColor="text1"/>
                <w14:textFill>
                  <w14:solidFill>
                    <w14:schemeClr w14:val="tx1"/>
                  </w14:solidFill>
                </w14:textFill>
              </w:rPr>
            </w:pPr>
          </w:p>
        </w:tc>
        <w:tc>
          <w:tcPr>
            <w:tcW w:w="720" w:type="dxa"/>
            <w:vAlign w:val="center"/>
          </w:tcPr>
          <w:p w14:paraId="43BB714F">
            <w:pPr>
              <w:pStyle w:val="42"/>
              <w:rPr>
                <w:color w:val="000000" w:themeColor="text1"/>
                <w14:textFill>
                  <w14:solidFill>
                    <w14:schemeClr w14:val="tx1"/>
                  </w14:solidFill>
                </w14:textFill>
              </w:rPr>
            </w:pPr>
          </w:p>
        </w:tc>
      </w:tr>
      <w:tr w14:paraId="15203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03" w:hRule="atLeast"/>
        </w:trPr>
        <w:tc>
          <w:tcPr>
            <w:tcW w:w="7712" w:type="dxa"/>
            <w:gridSpan w:val="4"/>
            <w:vAlign w:val="center"/>
          </w:tcPr>
          <w:p w14:paraId="53DBF897">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568" w:type="dxa"/>
            <w:vAlign w:val="center"/>
          </w:tcPr>
          <w:p w14:paraId="52DA7319">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74DF3B4D">
            <w:pPr>
              <w:pStyle w:val="42"/>
              <w:rPr>
                <w:color w:val="000000" w:themeColor="text1"/>
                <w14:textFill>
                  <w14:solidFill>
                    <w14:schemeClr w14:val="tx1"/>
                  </w14:solidFill>
                </w14:textFill>
              </w:rPr>
            </w:pPr>
          </w:p>
        </w:tc>
        <w:tc>
          <w:tcPr>
            <w:tcW w:w="720" w:type="dxa"/>
            <w:vAlign w:val="center"/>
          </w:tcPr>
          <w:p w14:paraId="429C7298">
            <w:pPr>
              <w:pStyle w:val="42"/>
              <w:rPr>
                <w:color w:val="000000" w:themeColor="text1"/>
                <w14:textFill>
                  <w14:solidFill>
                    <w14:schemeClr w14:val="tx1"/>
                  </w14:solidFill>
                </w14:textFill>
              </w:rPr>
            </w:pPr>
          </w:p>
        </w:tc>
      </w:tr>
    </w:tbl>
    <w:p w14:paraId="1A5B3B84">
      <w:pPr>
        <w:rPr>
          <w:color w:val="000000" w:themeColor="text1"/>
          <w14:textFill>
            <w14:solidFill>
              <w14:schemeClr w14:val="tx1"/>
            </w14:solidFill>
          </w14:textFill>
        </w:rPr>
      </w:pPr>
    </w:p>
    <w:p w14:paraId="0B44E56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87" w:name="_Toc6314"/>
      <w:bookmarkStart w:id="88" w:name="_Toc1069"/>
      <w:bookmarkStart w:id="89" w:name="_Toc23322"/>
      <w:r>
        <w:rPr>
          <w:rFonts w:hint="eastAsia"/>
          <w:color w:val="000000" w:themeColor="text1"/>
          <w14:textFill>
            <w14:solidFill>
              <w14:schemeClr w14:val="tx1"/>
            </w14:solidFill>
          </w14:textFill>
        </w:rPr>
        <w:t>表29  施工升降机检查</w:t>
      </w:r>
      <w:r>
        <w:rPr>
          <w:color w:val="000000" w:themeColor="text1"/>
          <w14:textFill>
            <w14:solidFill>
              <w14:schemeClr w14:val="tx1"/>
            </w14:solidFill>
          </w14:textFill>
        </w:rPr>
        <w:t>评分表</w:t>
      </w:r>
      <w:bookmarkEnd w:id="87"/>
      <w:bookmarkEnd w:id="88"/>
      <w:bookmarkEnd w:id="89"/>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B61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50208A7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09E642E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757EBBC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186B71A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33488E8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080A48E2">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420CADDB">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667A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45391D21">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3C4F3F3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348CE90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333B40B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71D6D61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8377B9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安全装置</w:t>
            </w:r>
          </w:p>
        </w:tc>
        <w:tc>
          <w:tcPr>
            <w:tcW w:w="5580" w:type="dxa"/>
            <w:vAlign w:val="center"/>
          </w:tcPr>
          <w:p w14:paraId="380346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）未安装起重量限制器或不灵敏，扣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CE778F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）未安装渐进式防坠安全器或不灵敏，扣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53071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）防坠器使用超过有效的标定期限，扣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0460A0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）对重钢丝绳未安装防松绳装置或不灵敏，扣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313498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）底架未安装吊笼和对重缓冲器或缓冲器不符合标准要求，扣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89A99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SC</w:t>
            </w:r>
            <w:r>
              <w:rPr>
                <w:rFonts w:hint="eastAsia"/>
                <w:color w:val="000000" w:themeColor="text1"/>
                <w14:textFill>
                  <w14:solidFill>
                    <w14:schemeClr w14:val="tx1"/>
                  </w14:solidFill>
                </w14:textFill>
              </w:rPr>
              <w:t>施工升降机未按规定安装安全钩，扣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316DC13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7BDA8F0">
            <w:pPr>
              <w:pStyle w:val="42"/>
              <w:rPr>
                <w:color w:val="000000" w:themeColor="text1"/>
                <w14:textFill>
                  <w14:solidFill>
                    <w14:schemeClr w14:val="tx1"/>
                  </w14:solidFill>
                </w14:textFill>
              </w:rPr>
            </w:pPr>
          </w:p>
        </w:tc>
        <w:tc>
          <w:tcPr>
            <w:tcW w:w="720" w:type="dxa"/>
            <w:vAlign w:val="center"/>
          </w:tcPr>
          <w:p w14:paraId="02142660">
            <w:pPr>
              <w:pStyle w:val="42"/>
              <w:rPr>
                <w:color w:val="000000" w:themeColor="text1"/>
                <w14:textFill>
                  <w14:solidFill>
                    <w14:schemeClr w14:val="tx1"/>
                  </w14:solidFill>
                </w14:textFill>
              </w:rPr>
            </w:pPr>
          </w:p>
        </w:tc>
      </w:tr>
      <w:tr w14:paraId="33C9C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604707DD">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B04BCE7">
            <w:pPr>
              <w:pStyle w:val="42"/>
              <w:rPr>
                <w:color w:val="000000" w:themeColor="text1"/>
                <w14:textFill>
                  <w14:solidFill>
                    <w14:schemeClr w14:val="tx1"/>
                  </w14:solidFill>
                </w14:textFill>
              </w:rPr>
            </w:pPr>
          </w:p>
        </w:tc>
        <w:tc>
          <w:tcPr>
            <w:tcW w:w="898" w:type="dxa"/>
            <w:vAlign w:val="center"/>
          </w:tcPr>
          <w:p w14:paraId="71E2D36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限位装置</w:t>
            </w:r>
          </w:p>
        </w:tc>
        <w:tc>
          <w:tcPr>
            <w:tcW w:w="5580" w:type="dxa"/>
            <w:vAlign w:val="center"/>
          </w:tcPr>
          <w:p w14:paraId="4B897AF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）未安装非自动复位型极限开关或不灵敏，扣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F6A11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）未安装自动复位型上、下限位开关或不灵敏，扣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DC959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）上极限开关与上限位开关安全越程不符合标准要求，扣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A67450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）极限开关、限位开关共用一个触发元件，扣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16EF0D05">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6821321">
            <w:pPr>
              <w:pStyle w:val="42"/>
              <w:rPr>
                <w:color w:val="000000" w:themeColor="text1"/>
                <w14:textFill>
                  <w14:solidFill>
                    <w14:schemeClr w14:val="tx1"/>
                  </w14:solidFill>
                </w14:textFill>
              </w:rPr>
            </w:pPr>
          </w:p>
        </w:tc>
        <w:tc>
          <w:tcPr>
            <w:tcW w:w="720" w:type="dxa"/>
            <w:vAlign w:val="center"/>
          </w:tcPr>
          <w:p w14:paraId="4F3C00C5">
            <w:pPr>
              <w:pStyle w:val="42"/>
              <w:rPr>
                <w:color w:val="000000" w:themeColor="text1"/>
                <w14:textFill>
                  <w14:solidFill>
                    <w14:schemeClr w14:val="tx1"/>
                  </w14:solidFill>
                </w14:textFill>
              </w:rPr>
            </w:pPr>
          </w:p>
        </w:tc>
      </w:tr>
      <w:tr w14:paraId="61D8A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E965402">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17B0DC40">
            <w:pPr>
              <w:pStyle w:val="42"/>
              <w:rPr>
                <w:color w:val="000000" w:themeColor="text1"/>
                <w14:textFill>
                  <w14:solidFill>
                    <w14:schemeClr w14:val="tx1"/>
                  </w14:solidFill>
                </w14:textFill>
              </w:rPr>
            </w:pPr>
          </w:p>
        </w:tc>
        <w:tc>
          <w:tcPr>
            <w:tcW w:w="898" w:type="dxa"/>
            <w:vAlign w:val="center"/>
          </w:tcPr>
          <w:p w14:paraId="15310CC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防护设施</w:t>
            </w:r>
          </w:p>
        </w:tc>
        <w:tc>
          <w:tcPr>
            <w:tcW w:w="5580" w:type="dxa"/>
            <w:vAlign w:val="center"/>
          </w:tcPr>
          <w:p w14:paraId="04F53F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）吊笼和对重升降通道周围未设置防护围栏，扣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分；围栏高度小于</w:t>
            </w:r>
            <w:r>
              <w:rPr>
                <w:color w:val="000000" w:themeColor="text1"/>
                <w14:textFill>
                  <w14:solidFill>
                    <w14:schemeClr w14:val="tx1"/>
                  </w14:solidFill>
                </w14:textFill>
              </w:rPr>
              <w:t>1.8m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34A985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）围栏门、吊笼门未安装机电连锁装置或不灵敏，扣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5B46B5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）停层平台两侧未设置防护栏杆、挡脚板，扣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分，设置不符合临边作业防护要求，扣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24B3AC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）停层平台面脚手板未满铺或未牢固固定，扣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7928E9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）未安装层门或层门不起作用，扣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分；未实现定型化，扣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40918E1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）层门高度不符合标准要求，扣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69A7869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）层门安装不牢固或承载力不足，扣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94FBD3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）地面进出口未设置防护棚，扣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分；设置不符合标准要求，扣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tc>
        <w:tc>
          <w:tcPr>
            <w:tcW w:w="720" w:type="dxa"/>
            <w:vAlign w:val="center"/>
          </w:tcPr>
          <w:p w14:paraId="0850643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29DBDAA">
            <w:pPr>
              <w:pStyle w:val="42"/>
              <w:rPr>
                <w:color w:val="000000" w:themeColor="text1"/>
                <w14:textFill>
                  <w14:solidFill>
                    <w14:schemeClr w14:val="tx1"/>
                  </w14:solidFill>
                </w14:textFill>
              </w:rPr>
            </w:pPr>
          </w:p>
        </w:tc>
        <w:tc>
          <w:tcPr>
            <w:tcW w:w="720" w:type="dxa"/>
            <w:vAlign w:val="center"/>
          </w:tcPr>
          <w:p w14:paraId="10497145">
            <w:pPr>
              <w:pStyle w:val="42"/>
              <w:rPr>
                <w:color w:val="000000" w:themeColor="text1"/>
                <w14:textFill>
                  <w14:solidFill>
                    <w14:schemeClr w14:val="tx1"/>
                  </w14:solidFill>
                </w14:textFill>
              </w:rPr>
            </w:pPr>
          </w:p>
        </w:tc>
      </w:tr>
      <w:tr w14:paraId="6F8C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B08CB86">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51935BB7">
            <w:pPr>
              <w:pStyle w:val="42"/>
              <w:rPr>
                <w:color w:val="000000" w:themeColor="text1"/>
                <w14:textFill>
                  <w14:solidFill>
                    <w14:schemeClr w14:val="tx1"/>
                  </w14:solidFill>
                </w14:textFill>
              </w:rPr>
            </w:pPr>
          </w:p>
        </w:tc>
        <w:tc>
          <w:tcPr>
            <w:tcW w:w="898" w:type="dxa"/>
            <w:vAlign w:val="center"/>
          </w:tcPr>
          <w:p w14:paraId="79845D1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附墙架</w:t>
            </w:r>
          </w:p>
        </w:tc>
        <w:tc>
          <w:tcPr>
            <w:tcW w:w="5580" w:type="dxa"/>
            <w:vAlign w:val="center"/>
          </w:tcPr>
          <w:p w14:paraId="1C29B67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）附墙架采用非配套标准产品时未进行设计计算，扣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C1FBC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）附墙架与结构物连接方式、角度不符合产品说明书要求或连接不牢固，扣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74BF86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）附墙架间距、最高附着点以上导轨架的自由高度超过产品说明书要求，扣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B5115D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FC5D3A2">
            <w:pPr>
              <w:pStyle w:val="42"/>
              <w:rPr>
                <w:color w:val="000000" w:themeColor="text1"/>
                <w14:textFill>
                  <w14:solidFill>
                    <w14:schemeClr w14:val="tx1"/>
                  </w14:solidFill>
                </w14:textFill>
              </w:rPr>
            </w:pPr>
          </w:p>
        </w:tc>
        <w:tc>
          <w:tcPr>
            <w:tcW w:w="720" w:type="dxa"/>
            <w:vAlign w:val="center"/>
          </w:tcPr>
          <w:p w14:paraId="3185005C">
            <w:pPr>
              <w:pStyle w:val="42"/>
              <w:rPr>
                <w:color w:val="000000" w:themeColor="text1"/>
                <w14:textFill>
                  <w14:solidFill>
                    <w14:schemeClr w14:val="tx1"/>
                  </w14:solidFill>
                </w14:textFill>
              </w:rPr>
            </w:pPr>
          </w:p>
        </w:tc>
      </w:tr>
      <w:tr w14:paraId="6D0D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4DD7A7C4">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7A477AB4">
            <w:pPr>
              <w:pStyle w:val="42"/>
              <w:rPr>
                <w:color w:val="000000" w:themeColor="text1"/>
                <w14:textFill>
                  <w14:solidFill>
                    <w14:schemeClr w14:val="tx1"/>
                  </w14:solidFill>
                </w14:textFill>
              </w:rPr>
            </w:pPr>
          </w:p>
        </w:tc>
        <w:tc>
          <w:tcPr>
            <w:tcW w:w="898" w:type="dxa"/>
            <w:vAlign w:val="center"/>
          </w:tcPr>
          <w:p w14:paraId="1396489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钢丝绳、滑轮与对重</w:t>
            </w:r>
          </w:p>
        </w:tc>
        <w:tc>
          <w:tcPr>
            <w:tcW w:w="5580" w:type="dxa"/>
            <w:vAlign w:val="center"/>
          </w:tcPr>
          <w:p w14:paraId="0F3F869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）对重钢丝绳数少于</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根或未相对独立，扣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DD8CA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）钢丝绳磨损、断丝、变形、锈蚀达到报废标准，扣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F35977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）钢丝绳的规格、型号不符合产品说明书要求或穿绕不正确，扣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47251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）钢丝绳的端部固接不符合标准要求，扣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986939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）滑轮未设置钢丝绳防脱装置或不符合标准要求，扣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CA3FE6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）对重重量、固定不符合产品说明书要求，扣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7F86D9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）对重未设置防脱轨保护装置，扣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6718F5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41E5844">
            <w:pPr>
              <w:pStyle w:val="42"/>
              <w:rPr>
                <w:color w:val="000000" w:themeColor="text1"/>
                <w14:textFill>
                  <w14:solidFill>
                    <w14:schemeClr w14:val="tx1"/>
                  </w14:solidFill>
                </w14:textFill>
              </w:rPr>
            </w:pPr>
          </w:p>
        </w:tc>
        <w:tc>
          <w:tcPr>
            <w:tcW w:w="720" w:type="dxa"/>
            <w:vAlign w:val="center"/>
          </w:tcPr>
          <w:p w14:paraId="2E15DCDD">
            <w:pPr>
              <w:pStyle w:val="42"/>
              <w:rPr>
                <w:color w:val="000000" w:themeColor="text1"/>
                <w14:textFill>
                  <w14:solidFill>
                    <w14:schemeClr w14:val="tx1"/>
                  </w14:solidFill>
                </w14:textFill>
              </w:rPr>
            </w:pPr>
          </w:p>
        </w:tc>
      </w:tr>
      <w:tr w14:paraId="496B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CD13A1D">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7D9C781E">
            <w:pPr>
              <w:pStyle w:val="42"/>
              <w:rPr>
                <w:color w:val="000000" w:themeColor="text1"/>
                <w14:textFill>
                  <w14:solidFill>
                    <w14:schemeClr w14:val="tx1"/>
                  </w14:solidFill>
                </w14:textFill>
              </w:rPr>
            </w:pPr>
          </w:p>
        </w:tc>
        <w:tc>
          <w:tcPr>
            <w:tcW w:w="898" w:type="dxa"/>
            <w:vAlign w:val="center"/>
          </w:tcPr>
          <w:p w14:paraId="0EF4EA6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安装、拆卸与验收</w:t>
            </w:r>
          </w:p>
        </w:tc>
        <w:tc>
          <w:tcPr>
            <w:tcW w:w="5580" w:type="dxa"/>
            <w:vAlign w:val="center"/>
          </w:tcPr>
          <w:p w14:paraId="29DDD5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）无制造许可证、产品合格证、备案证明和产品说明书，扣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4445DB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）安装、拆卸单位未取得设备安装工程专业承包资质和安全生产许可证，扣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FCB8CD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）安装、拆卸作业人员未取得特种作业资格证书，扣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E976B5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）未编制安装、拆卸专项施工方案或未经审核、审批，扣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6F27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）未履行验收程序或未经责任人签字确认，扣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3FEF49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）验收后未办理使用登记，扣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4E4BAF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835489B">
            <w:pPr>
              <w:pStyle w:val="42"/>
              <w:rPr>
                <w:color w:val="000000" w:themeColor="text1"/>
                <w14:textFill>
                  <w14:solidFill>
                    <w14:schemeClr w14:val="tx1"/>
                  </w14:solidFill>
                </w14:textFill>
              </w:rPr>
            </w:pPr>
          </w:p>
        </w:tc>
        <w:tc>
          <w:tcPr>
            <w:tcW w:w="720" w:type="dxa"/>
            <w:vAlign w:val="center"/>
          </w:tcPr>
          <w:p w14:paraId="6E9B2B26">
            <w:pPr>
              <w:pStyle w:val="42"/>
              <w:rPr>
                <w:color w:val="000000" w:themeColor="text1"/>
                <w14:textFill>
                  <w14:solidFill>
                    <w14:schemeClr w14:val="tx1"/>
                  </w14:solidFill>
                </w14:textFill>
              </w:rPr>
            </w:pPr>
          </w:p>
        </w:tc>
      </w:tr>
      <w:tr w14:paraId="3C493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90379D2">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tcPr>
          <w:p w14:paraId="5AB29F11">
            <w:pPr>
              <w:pStyle w:val="42"/>
              <w:rPr>
                <w:color w:val="000000" w:themeColor="text1"/>
                <w14:textFill>
                  <w14:solidFill>
                    <w14:schemeClr w14:val="tx1"/>
                  </w14:solidFill>
                </w14:textFill>
              </w:rPr>
            </w:pPr>
          </w:p>
        </w:tc>
        <w:tc>
          <w:tcPr>
            <w:tcW w:w="898" w:type="dxa"/>
            <w:vAlign w:val="center"/>
          </w:tcPr>
          <w:p w14:paraId="7C759E3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使用</w:t>
            </w:r>
          </w:p>
        </w:tc>
        <w:tc>
          <w:tcPr>
            <w:tcW w:w="5580" w:type="dxa"/>
            <w:vAlign w:val="center"/>
          </w:tcPr>
          <w:p w14:paraId="16118F8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）司机未取得特种作业资格证书，扣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BAC8E2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）作业前未按规定进行例行检查或未填写检查记录，扣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3F4B5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）每日作业结束后未将吊笼返回最底层停放，扣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1E4D9E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）实行多班作业未按规定填写交接班记录，扣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3BA7C3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）施工升降机未安装信号联络装置，扣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分；信号联络不清晰，扣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D97299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）未按规定周期和方法进行超载试验，扣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00F754D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D7D9C68">
            <w:pPr>
              <w:pStyle w:val="42"/>
              <w:rPr>
                <w:color w:val="000000" w:themeColor="text1"/>
                <w14:textFill>
                  <w14:solidFill>
                    <w14:schemeClr w14:val="tx1"/>
                  </w14:solidFill>
                </w14:textFill>
              </w:rPr>
            </w:pPr>
          </w:p>
        </w:tc>
        <w:tc>
          <w:tcPr>
            <w:tcW w:w="720" w:type="dxa"/>
            <w:vAlign w:val="center"/>
          </w:tcPr>
          <w:p w14:paraId="6F522C85">
            <w:pPr>
              <w:pStyle w:val="42"/>
              <w:rPr>
                <w:color w:val="000000" w:themeColor="text1"/>
                <w14:textFill>
                  <w14:solidFill>
                    <w14:schemeClr w14:val="tx1"/>
                  </w14:solidFill>
                </w14:textFill>
              </w:rPr>
            </w:pPr>
          </w:p>
        </w:tc>
      </w:tr>
      <w:tr w14:paraId="03FE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65CF88F">
            <w:pPr>
              <w:pStyle w:val="42"/>
              <w:rPr>
                <w:color w:val="000000" w:themeColor="text1"/>
                <w14:textFill>
                  <w14:solidFill>
                    <w14:schemeClr w14:val="tx1"/>
                  </w14:solidFill>
                </w14:textFill>
              </w:rPr>
            </w:pPr>
          </w:p>
        </w:tc>
        <w:tc>
          <w:tcPr>
            <w:tcW w:w="543" w:type="dxa"/>
            <w:vMerge w:val="continue"/>
          </w:tcPr>
          <w:p w14:paraId="038F60F4">
            <w:pPr>
              <w:pStyle w:val="42"/>
              <w:rPr>
                <w:color w:val="000000" w:themeColor="text1"/>
                <w14:textFill>
                  <w14:solidFill>
                    <w14:schemeClr w14:val="tx1"/>
                  </w14:solidFill>
                </w14:textFill>
              </w:rPr>
            </w:pPr>
          </w:p>
        </w:tc>
        <w:tc>
          <w:tcPr>
            <w:tcW w:w="6478" w:type="dxa"/>
            <w:gridSpan w:val="2"/>
            <w:vAlign w:val="center"/>
          </w:tcPr>
          <w:p w14:paraId="31DD0120">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76EA07F4">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344062B2">
            <w:pPr>
              <w:pStyle w:val="42"/>
              <w:rPr>
                <w:color w:val="000000" w:themeColor="text1"/>
                <w14:textFill>
                  <w14:solidFill>
                    <w14:schemeClr w14:val="tx1"/>
                  </w14:solidFill>
                </w14:textFill>
              </w:rPr>
            </w:pPr>
          </w:p>
        </w:tc>
        <w:tc>
          <w:tcPr>
            <w:tcW w:w="720" w:type="dxa"/>
            <w:vAlign w:val="center"/>
          </w:tcPr>
          <w:p w14:paraId="16212048">
            <w:pPr>
              <w:pStyle w:val="42"/>
              <w:rPr>
                <w:color w:val="000000" w:themeColor="text1"/>
                <w14:textFill>
                  <w14:solidFill>
                    <w14:schemeClr w14:val="tx1"/>
                  </w14:solidFill>
                </w14:textFill>
              </w:rPr>
            </w:pPr>
          </w:p>
        </w:tc>
      </w:tr>
      <w:tr w14:paraId="2315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072D80B9">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1B8DEF9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52630B3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3497E93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11E315BE">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75132B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导轨架</w:t>
            </w:r>
          </w:p>
        </w:tc>
        <w:tc>
          <w:tcPr>
            <w:tcW w:w="5580" w:type="dxa"/>
            <w:vAlign w:val="center"/>
          </w:tcPr>
          <w:p w14:paraId="3B65D61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）导轨架垂直度不符合使用产品说明书及规定要求，扣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62A4A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）标准节质量不符合产品说明书及相关标准要求，扣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42E702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）对重导轨不符合规定要求，扣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E8C817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）标准节连接螺栓使用不符合产品说明书及标准要求，扣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tc>
        <w:tc>
          <w:tcPr>
            <w:tcW w:w="720" w:type="dxa"/>
            <w:vAlign w:val="center"/>
          </w:tcPr>
          <w:p w14:paraId="5932CF5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DFA1F38">
            <w:pPr>
              <w:pStyle w:val="42"/>
              <w:rPr>
                <w:color w:val="000000" w:themeColor="text1"/>
                <w14:textFill>
                  <w14:solidFill>
                    <w14:schemeClr w14:val="tx1"/>
                  </w14:solidFill>
                </w14:textFill>
              </w:rPr>
            </w:pPr>
          </w:p>
        </w:tc>
        <w:tc>
          <w:tcPr>
            <w:tcW w:w="720" w:type="dxa"/>
            <w:vAlign w:val="center"/>
          </w:tcPr>
          <w:p w14:paraId="18F3307C">
            <w:pPr>
              <w:pStyle w:val="42"/>
              <w:rPr>
                <w:color w:val="000000" w:themeColor="text1"/>
                <w14:textFill>
                  <w14:solidFill>
                    <w14:schemeClr w14:val="tx1"/>
                  </w14:solidFill>
                </w14:textFill>
              </w:rPr>
            </w:pPr>
          </w:p>
        </w:tc>
      </w:tr>
      <w:tr w14:paraId="1AF3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2C29535">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60F499A2">
            <w:pPr>
              <w:pStyle w:val="42"/>
              <w:rPr>
                <w:color w:val="000000" w:themeColor="text1"/>
                <w14:textFill>
                  <w14:solidFill>
                    <w14:schemeClr w14:val="tx1"/>
                  </w14:solidFill>
                </w14:textFill>
              </w:rPr>
            </w:pPr>
          </w:p>
        </w:tc>
        <w:tc>
          <w:tcPr>
            <w:tcW w:w="898" w:type="dxa"/>
            <w:vAlign w:val="center"/>
          </w:tcPr>
          <w:p w14:paraId="7B72795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基础</w:t>
            </w:r>
          </w:p>
        </w:tc>
        <w:tc>
          <w:tcPr>
            <w:tcW w:w="5580" w:type="dxa"/>
            <w:vAlign w:val="center"/>
          </w:tcPr>
          <w:p w14:paraId="622FA93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）基础形式、材料、尺寸不符合产品说明书及标准要求，扣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分；未按标准进行验收，扣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3EE1BF0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）基础设置在既有结构上未对其支承结构进行承载力验算，扣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894AF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）未设置防、排水设施，扣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tc>
        <w:tc>
          <w:tcPr>
            <w:tcW w:w="720" w:type="dxa"/>
            <w:vAlign w:val="center"/>
          </w:tcPr>
          <w:p w14:paraId="65B29B3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3C5F961">
            <w:pPr>
              <w:pStyle w:val="42"/>
              <w:rPr>
                <w:color w:val="000000" w:themeColor="text1"/>
                <w14:textFill>
                  <w14:solidFill>
                    <w14:schemeClr w14:val="tx1"/>
                  </w14:solidFill>
                </w14:textFill>
              </w:rPr>
            </w:pPr>
          </w:p>
        </w:tc>
        <w:tc>
          <w:tcPr>
            <w:tcW w:w="720" w:type="dxa"/>
            <w:vAlign w:val="center"/>
          </w:tcPr>
          <w:p w14:paraId="44DC67AB">
            <w:pPr>
              <w:pStyle w:val="42"/>
              <w:rPr>
                <w:color w:val="000000" w:themeColor="text1"/>
                <w14:textFill>
                  <w14:solidFill>
                    <w14:schemeClr w14:val="tx1"/>
                  </w14:solidFill>
                </w14:textFill>
              </w:rPr>
            </w:pPr>
          </w:p>
        </w:tc>
      </w:tr>
      <w:tr w14:paraId="0EFC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C1BBD45">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0D8DBE99">
            <w:pPr>
              <w:pStyle w:val="42"/>
              <w:rPr>
                <w:color w:val="000000" w:themeColor="text1"/>
                <w14:textFill>
                  <w14:solidFill>
                    <w14:schemeClr w14:val="tx1"/>
                  </w14:solidFill>
                </w14:textFill>
              </w:rPr>
            </w:pPr>
          </w:p>
        </w:tc>
        <w:tc>
          <w:tcPr>
            <w:tcW w:w="898" w:type="dxa"/>
            <w:vAlign w:val="center"/>
          </w:tcPr>
          <w:p w14:paraId="1B790E2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电气安全</w:t>
            </w:r>
          </w:p>
        </w:tc>
        <w:tc>
          <w:tcPr>
            <w:tcW w:w="5580" w:type="dxa"/>
            <w:vAlign w:val="center"/>
          </w:tcPr>
          <w:p w14:paraId="5F3F6F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）未安装非自动复位型急停开关或不灵敏，扣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153C0C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）施工升降机在其他避雷装置保护范围以外未设置避雷装置，扣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分；避雷装置不符合相关标准要求，扣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E2CB4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）金属结构和所有电气设备系统金属外壳未进行可靠接地，扣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64D5CC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）施工升降机与架空线路的安全距离不符合标准要求时，未采取防护措施，扣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E7214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）未设置电缆导向架或设置不符合说明书及标准要求，扣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CA8FBA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）吊笼顶窗未安装电气安全开关或不灵敏，扣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27347C9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ED13FA0">
            <w:pPr>
              <w:pStyle w:val="42"/>
              <w:rPr>
                <w:color w:val="000000" w:themeColor="text1"/>
                <w14:textFill>
                  <w14:solidFill>
                    <w14:schemeClr w14:val="tx1"/>
                  </w14:solidFill>
                </w14:textFill>
              </w:rPr>
            </w:pPr>
          </w:p>
        </w:tc>
        <w:tc>
          <w:tcPr>
            <w:tcW w:w="720" w:type="dxa"/>
            <w:vAlign w:val="center"/>
          </w:tcPr>
          <w:p w14:paraId="4CBB6C29">
            <w:pPr>
              <w:pStyle w:val="42"/>
              <w:rPr>
                <w:color w:val="000000" w:themeColor="text1"/>
                <w14:textFill>
                  <w14:solidFill>
                    <w14:schemeClr w14:val="tx1"/>
                  </w14:solidFill>
                </w14:textFill>
              </w:rPr>
            </w:pPr>
          </w:p>
        </w:tc>
      </w:tr>
      <w:tr w14:paraId="73C9E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2EADF125">
            <w:pPr>
              <w:pStyle w:val="42"/>
              <w:rPr>
                <w:color w:val="000000" w:themeColor="text1"/>
                <w14:textFill>
                  <w14:solidFill>
                    <w14:schemeClr w14:val="tx1"/>
                  </w14:solidFill>
                </w14:textFill>
              </w:rPr>
            </w:pPr>
          </w:p>
        </w:tc>
        <w:tc>
          <w:tcPr>
            <w:tcW w:w="543" w:type="dxa"/>
            <w:vMerge w:val="continue"/>
          </w:tcPr>
          <w:p w14:paraId="0F1A1D19">
            <w:pPr>
              <w:pStyle w:val="42"/>
              <w:rPr>
                <w:color w:val="000000" w:themeColor="text1"/>
                <w14:textFill>
                  <w14:solidFill>
                    <w14:schemeClr w14:val="tx1"/>
                  </w14:solidFill>
                </w14:textFill>
              </w:rPr>
            </w:pPr>
          </w:p>
        </w:tc>
        <w:tc>
          <w:tcPr>
            <w:tcW w:w="6478" w:type="dxa"/>
            <w:gridSpan w:val="2"/>
            <w:vAlign w:val="center"/>
          </w:tcPr>
          <w:p w14:paraId="6D4E3025">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小</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62DEE70A">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34D1FCAC">
            <w:pPr>
              <w:pStyle w:val="42"/>
              <w:rPr>
                <w:color w:val="000000" w:themeColor="text1"/>
                <w14:textFill>
                  <w14:solidFill>
                    <w14:schemeClr w14:val="tx1"/>
                  </w14:solidFill>
                </w14:textFill>
              </w:rPr>
            </w:pPr>
          </w:p>
        </w:tc>
        <w:tc>
          <w:tcPr>
            <w:tcW w:w="720" w:type="dxa"/>
            <w:vAlign w:val="center"/>
          </w:tcPr>
          <w:p w14:paraId="25F2D5A7">
            <w:pPr>
              <w:pStyle w:val="42"/>
              <w:rPr>
                <w:color w:val="000000" w:themeColor="text1"/>
                <w14:textFill>
                  <w14:solidFill>
                    <w14:schemeClr w14:val="tx1"/>
                  </w14:solidFill>
                </w14:textFill>
              </w:rPr>
            </w:pPr>
          </w:p>
        </w:tc>
      </w:tr>
      <w:tr w14:paraId="761F9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3EF621E0">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25919657">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2E38BF64">
            <w:pPr>
              <w:pStyle w:val="42"/>
              <w:rPr>
                <w:color w:val="000000" w:themeColor="text1"/>
                <w14:textFill>
                  <w14:solidFill>
                    <w14:schemeClr w14:val="tx1"/>
                  </w14:solidFill>
                </w14:textFill>
              </w:rPr>
            </w:pPr>
          </w:p>
        </w:tc>
        <w:tc>
          <w:tcPr>
            <w:tcW w:w="720" w:type="dxa"/>
            <w:vAlign w:val="center"/>
          </w:tcPr>
          <w:p w14:paraId="0C046766">
            <w:pPr>
              <w:pStyle w:val="42"/>
              <w:rPr>
                <w:color w:val="000000" w:themeColor="text1"/>
                <w14:textFill>
                  <w14:solidFill>
                    <w14:schemeClr w14:val="tx1"/>
                  </w14:solidFill>
                </w14:textFill>
              </w:rPr>
            </w:pPr>
          </w:p>
        </w:tc>
      </w:tr>
    </w:tbl>
    <w:p w14:paraId="4E664E1C">
      <w:pPr>
        <w:rPr>
          <w:color w:val="000000" w:themeColor="text1"/>
          <w14:textFill>
            <w14:solidFill>
              <w14:schemeClr w14:val="tx1"/>
            </w14:solidFill>
          </w14:textFill>
        </w:rPr>
      </w:pPr>
    </w:p>
    <w:p w14:paraId="2F01BFF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90" w:name="_Toc19424"/>
      <w:bookmarkStart w:id="91" w:name="_Toc16210"/>
      <w:bookmarkStart w:id="92" w:name="_Toc9706"/>
      <w:r>
        <w:rPr>
          <w:rFonts w:hint="eastAsia"/>
          <w:color w:val="000000" w:themeColor="text1"/>
          <w14:textFill>
            <w14:solidFill>
              <w14:schemeClr w14:val="tx1"/>
            </w14:solidFill>
          </w14:textFill>
        </w:rPr>
        <w:t>表30  物料提升机检查</w:t>
      </w:r>
      <w:r>
        <w:rPr>
          <w:color w:val="000000" w:themeColor="text1"/>
          <w14:textFill>
            <w14:solidFill>
              <w14:schemeClr w14:val="tx1"/>
            </w14:solidFill>
          </w14:textFill>
        </w:rPr>
        <w:t>评分表</w:t>
      </w:r>
      <w:bookmarkEnd w:id="90"/>
      <w:bookmarkEnd w:id="91"/>
      <w:bookmarkEnd w:id="92"/>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7222B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7EE356C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4294161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34E102D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33B91ED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2ED47BE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7B537F6F">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61E06D0F">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5424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267D0F32">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E2AD1B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372A95A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0D27C8A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6D8C559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5CCB56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安全装置</w:t>
            </w:r>
          </w:p>
        </w:tc>
        <w:tc>
          <w:tcPr>
            <w:tcW w:w="5580" w:type="dxa"/>
            <w:vAlign w:val="center"/>
          </w:tcPr>
          <w:p w14:paraId="2B58FEF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）未安装起重量限制器或不灵敏，扣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845193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）未安装防坠安全器或不灵敏，扣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92326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）未设置刚性停靠装置或承载力不足，扣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分；未达到定型化，扣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1BC4567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）未安装上限位开关或不灵敏，扣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分；安全越程小于</w:t>
            </w:r>
            <w:r>
              <w:rPr>
                <w:color w:val="000000" w:themeColor="text1"/>
                <w14:textFill>
                  <w14:solidFill>
                    <w14:schemeClr w14:val="tx1"/>
                  </w14:solidFill>
                </w14:textFill>
              </w:rPr>
              <w:t>3m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E0470E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）底架未安装吊笼和对重缓冲器或缓冲器不符合标准要求，扣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8DEE75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）未安装通信装置，扣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分；不具备语音和影象显示功能或信号不清晰，扣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374BFBA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）安装高度超过</w:t>
            </w:r>
            <w:r>
              <w:rPr>
                <w:color w:val="000000" w:themeColor="text1"/>
                <w14:textFill>
                  <w14:solidFill>
                    <w14:schemeClr w14:val="tx1"/>
                  </w14:solidFill>
                </w14:textFill>
              </w:rPr>
              <w:t>30m</w:t>
            </w:r>
            <w:r>
              <w:rPr>
                <w:rFonts w:hint="eastAsia"/>
                <w:color w:val="000000" w:themeColor="text1"/>
                <w14:textFill>
                  <w14:solidFill>
                    <w14:schemeClr w14:val="tx1"/>
                  </w14:solidFill>
                </w14:textFill>
              </w:rPr>
              <w:t>未安装渐进式防坠安全器和自动停靠装置，每项扣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D134A3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DB7724B">
            <w:pPr>
              <w:pStyle w:val="42"/>
              <w:rPr>
                <w:color w:val="000000" w:themeColor="text1"/>
                <w14:textFill>
                  <w14:solidFill>
                    <w14:schemeClr w14:val="tx1"/>
                  </w14:solidFill>
                </w14:textFill>
              </w:rPr>
            </w:pPr>
          </w:p>
        </w:tc>
        <w:tc>
          <w:tcPr>
            <w:tcW w:w="720" w:type="dxa"/>
            <w:vAlign w:val="center"/>
          </w:tcPr>
          <w:p w14:paraId="41069413">
            <w:pPr>
              <w:pStyle w:val="42"/>
              <w:rPr>
                <w:color w:val="000000" w:themeColor="text1"/>
                <w14:textFill>
                  <w14:solidFill>
                    <w14:schemeClr w14:val="tx1"/>
                  </w14:solidFill>
                </w14:textFill>
              </w:rPr>
            </w:pPr>
          </w:p>
        </w:tc>
      </w:tr>
      <w:tr w14:paraId="7F2D1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3E7F9A47">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2405D394">
            <w:pPr>
              <w:pStyle w:val="42"/>
              <w:rPr>
                <w:color w:val="000000" w:themeColor="text1"/>
                <w14:textFill>
                  <w14:solidFill>
                    <w14:schemeClr w14:val="tx1"/>
                  </w14:solidFill>
                </w14:textFill>
              </w:rPr>
            </w:pPr>
          </w:p>
        </w:tc>
        <w:tc>
          <w:tcPr>
            <w:tcW w:w="898" w:type="dxa"/>
            <w:vAlign w:val="center"/>
          </w:tcPr>
          <w:p w14:paraId="479EC35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防护设施</w:t>
            </w:r>
          </w:p>
        </w:tc>
        <w:tc>
          <w:tcPr>
            <w:tcW w:w="5580" w:type="dxa"/>
            <w:vAlign w:val="center"/>
          </w:tcPr>
          <w:p w14:paraId="6AD4173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）地面进料口未设置防护围栏，扣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分；围栏高度小于</w:t>
            </w:r>
            <w:r>
              <w:rPr>
                <w:color w:val="000000" w:themeColor="text1"/>
                <w14:textFill>
                  <w14:solidFill>
                    <w14:schemeClr w14:val="tx1"/>
                  </w14:solidFill>
                </w14:textFill>
              </w:rPr>
              <w:t>1.8m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17C35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）停层平台两侧未设置防护栏杆、挡脚板，扣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分，设置不符合临边作业防护要求，扣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262AF69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）停层平台面脚手板未满铺或未牢固固定，扣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430CB6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）未安装平台门或平台门不起作用，扣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分；未实现定型化，扣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0E767D7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）平台门高度不符合标准要求，扣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41F4B02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）平台门安装不牢固或承载力不足，扣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1BA14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）地面进料口未设置防护棚，扣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分；设置不符合标准要求，扣</w:t>
            </w:r>
            <w:r>
              <w:rPr>
                <w:color w:val="000000" w:themeColor="text1"/>
                <w14:textFill>
                  <w14:solidFill>
                    <w14:schemeClr w14:val="tx1"/>
                  </w14:solidFill>
                </w14:textFill>
              </w:rPr>
              <w:t>3-5</w:t>
            </w:r>
            <w:r>
              <w:rPr>
                <w:rFonts w:hint="eastAsia"/>
                <w:color w:val="000000" w:themeColor="text1"/>
                <w14:textFill>
                  <w14:solidFill>
                    <w14:schemeClr w14:val="tx1"/>
                  </w14:solidFill>
                </w14:textFill>
              </w:rPr>
              <w:t>分</w:t>
            </w:r>
          </w:p>
          <w:p w14:paraId="3AAC50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）未设置卷扬机操作棚，扣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分；未实现定型化，扣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66B6470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8C0DDCB">
            <w:pPr>
              <w:pStyle w:val="42"/>
              <w:rPr>
                <w:color w:val="000000" w:themeColor="text1"/>
                <w14:textFill>
                  <w14:solidFill>
                    <w14:schemeClr w14:val="tx1"/>
                  </w14:solidFill>
                </w14:textFill>
              </w:rPr>
            </w:pPr>
          </w:p>
        </w:tc>
        <w:tc>
          <w:tcPr>
            <w:tcW w:w="720" w:type="dxa"/>
            <w:vAlign w:val="center"/>
          </w:tcPr>
          <w:p w14:paraId="270CE9F2">
            <w:pPr>
              <w:pStyle w:val="42"/>
              <w:rPr>
                <w:color w:val="000000" w:themeColor="text1"/>
                <w14:textFill>
                  <w14:solidFill>
                    <w14:schemeClr w14:val="tx1"/>
                  </w14:solidFill>
                </w14:textFill>
              </w:rPr>
            </w:pPr>
          </w:p>
        </w:tc>
      </w:tr>
      <w:tr w14:paraId="64F6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DBC7389">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2E4D7EA7">
            <w:pPr>
              <w:pStyle w:val="42"/>
              <w:rPr>
                <w:color w:val="000000" w:themeColor="text1"/>
                <w14:textFill>
                  <w14:solidFill>
                    <w14:schemeClr w14:val="tx1"/>
                  </w14:solidFill>
                </w14:textFill>
              </w:rPr>
            </w:pPr>
          </w:p>
        </w:tc>
        <w:tc>
          <w:tcPr>
            <w:tcW w:w="898" w:type="dxa"/>
            <w:vAlign w:val="center"/>
          </w:tcPr>
          <w:p w14:paraId="519E43C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附墙架、缆风绳与地锚</w:t>
            </w:r>
          </w:p>
        </w:tc>
        <w:tc>
          <w:tcPr>
            <w:tcW w:w="5580" w:type="dxa"/>
          </w:tcPr>
          <w:p w14:paraId="0EF00DC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）附墙架结构形式、材质、间距、最高附着点以上导轨架的自由高度不符合产品说明书要求，扣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FE84B2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）附墙架与导轨架、建筑结构未采用刚性连接或连接不牢靠，扣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E60FE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）缆风绳设置数量、位置、直径、角度不符合标准和产品说明书要求，扣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154644C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）缆风绳与地锚连接不牢固，扣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F037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）安装高度在</w:t>
            </w:r>
            <w:r>
              <w:rPr>
                <w:color w:val="000000" w:themeColor="text1"/>
                <w14:textFill>
                  <w14:solidFill>
                    <w14:schemeClr w14:val="tx1"/>
                  </w14:solidFill>
                </w14:textFill>
              </w:rPr>
              <w:t>30m</w:t>
            </w:r>
            <w:r>
              <w:rPr>
                <w:rFonts w:hint="eastAsia"/>
                <w:color w:val="000000" w:themeColor="text1"/>
                <w14:textFill>
                  <w14:solidFill>
                    <w14:schemeClr w14:val="tx1"/>
                  </w14:solidFill>
                </w14:textFill>
              </w:rPr>
              <w:t>及以上时未设置附墙架，扣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AD9FD6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）地锚设置不符合标准要求，每处扣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E36CD7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5ADD9CB">
            <w:pPr>
              <w:pStyle w:val="42"/>
              <w:rPr>
                <w:color w:val="000000" w:themeColor="text1"/>
                <w14:textFill>
                  <w14:solidFill>
                    <w14:schemeClr w14:val="tx1"/>
                  </w14:solidFill>
                </w14:textFill>
              </w:rPr>
            </w:pPr>
          </w:p>
        </w:tc>
        <w:tc>
          <w:tcPr>
            <w:tcW w:w="720" w:type="dxa"/>
            <w:vAlign w:val="center"/>
          </w:tcPr>
          <w:p w14:paraId="62E4B906">
            <w:pPr>
              <w:pStyle w:val="42"/>
              <w:rPr>
                <w:color w:val="000000" w:themeColor="text1"/>
                <w14:textFill>
                  <w14:solidFill>
                    <w14:schemeClr w14:val="tx1"/>
                  </w14:solidFill>
                </w14:textFill>
              </w:rPr>
            </w:pPr>
          </w:p>
        </w:tc>
      </w:tr>
      <w:tr w14:paraId="19A4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19C87A8">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6390B33A">
            <w:pPr>
              <w:pStyle w:val="42"/>
              <w:rPr>
                <w:color w:val="000000" w:themeColor="text1"/>
                <w14:textFill>
                  <w14:solidFill>
                    <w14:schemeClr w14:val="tx1"/>
                  </w14:solidFill>
                </w14:textFill>
              </w:rPr>
            </w:pPr>
          </w:p>
        </w:tc>
        <w:tc>
          <w:tcPr>
            <w:tcW w:w="898" w:type="dxa"/>
            <w:vAlign w:val="center"/>
          </w:tcPr>
          <w:p w14:paraId="1FBC4C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钢丝绳</w:t>
            </w:r>
          </w:p>
        </w:tc>
        <w:tc>
          <w:tcPr>
            <w:tcW w:w="5580" w:type="dxa"/>
          </w:tcPr>
          <w:p w14:paraId="172282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）钢丝绳磨损、断丝、变形、锈蚀达到报废标准，扣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D40480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）钢丝绳绳夹设置不符合相关标准要求，每处扣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55652F8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）当吊笼处于最低位置时，卷筒上钢丝绳少于</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FAB6B1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）未设置钢丝绳过路保护措施或钢丝绳拖地，扣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7EFC1921">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19F72C1">
            <w:pPr>
              <w:pStyle w:val="42"/>
              <w:rPr>
                <w:color w:val="000000" w:themeColor="text1"/>
                <w14:textFill>
                  <w14:solidFill>
                    <w14:schemeClr w14:val="tx1"/>
                  </w14:solidFill>
                </w14:textFill>
              </w:rPr>
            </w:pPr>
          </w:p>
        </w:tc>
        <w:tc>
          <w:tcPr>
            <w:tcW w:w="720" w:type="dxa"/>
            <w:vAlign w:val="center"/>
          </w:tcPr>
          <w:p w14:paraId="69C67CE0">
            <w:pPr>
              <w:pStyle w:val="42"/>
              <w:rPr>
                <w:color w:val="000000" w:themeColor="text1"/>
                <w14:textFill>
                  <w14:solidFill>
                    <w14:schemeClr w14:val="tx1"/>
                  </w14:solidFill>
                </w14:textFill>
              </w:rPr>
            </w:pPr>
          </w:p>
        </w:tc>
      </w:tr>
      <w:tr w14:paraId="7036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21DC2F3F">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026202F7">
            <w:pPr>
              <w:pStyle w:val="42"/>
              <w:rPr>
                <w:color w:val="000000" w:themeColor="text1"/>
                <w14:textFill>
                  <w14:solidFill>
                    <w14:schemeClr w14:val="tx1"/>
                  </w14:solidFill>
                </w14:textFill>
              </w:rPr>
            </w:pPr>
          </w:p>
        </w:tc>
        <w:tc>
          <w:tcPr>
            <w:tcW w:w="898" w:type="dxa"/>
            <w:vAlign w:val="center"/>
          </w:tcPr>
          <w:p w14:paraId="5A4F942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架体结构</w:t>
            </w:r>
          </w:p>
        </w:tc>
        <w:tc>
          <w:tcPr>
            <w:tcW w:w="5580" w:type="dxa"/>
            <w:vAlign w:val="center"/>
          </w:tcPr>
          <w:p w14:paraId="3DE505A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）主要结构件有明显变形、严重锈蚀，或焊缝有明显可见裂纹，扣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8984B6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）结构件安装不符合产品说明书要求，扣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分；连接螺栓不齐全或不紧固，每处扣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7B405C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）导轨架垂直度偏差大于导轨架高度的</w:t>
            </w:r>
            <w:r>
              <w:rPr>
                <w:color w:val="000000" w:themeColor="text1"/>
                <w14:textFill>
                  <w14:solidFill>
                    <w14:schemeClr w14:val="tx1"/>
                  </w14:solidFill>
                </w14:textFill>
              </w:rPr>
              <w:t>0.15%</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49EAFD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）井架停靠平台通道处的结构未采取加强措施，扣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63DB3B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44003D2">
            <w:pPr>
              <w:pStyle w:val="42"/>
              <w:rPr>
                <w:color w:val="000000" w:themeColor="text1"/>
                <w14:textFill>
                  <w14:solidFill>
                    <w14:schemeClr w14:val="tx1"/>
                  </w14:solidFill>
                </w14:textFill>
              </w:rPr>
            </w:pPr>
          </w:p>
        </w:tc>
        <w:tc>
          <w:tcPr>
            <w:tcW w:w="720" w:type="dxa"/>
            <w:vAlign w:val="center"/>
          </w:tcPr>
          <w:p w14:paraId="33F96227">
            <w:pPr>
              <w:pStyle w:val="42"/>
              <w:rPr>
                <w:color w:val="000000" w:themeColor="text1"/>
                <w14:textFill>
                  <w14:solidFill>
                    <w14:schemeClr w14:val="tx1"/>
                  </w14:solidFill>
                </w14:textFill>
              </w:rPr>
            </w:pPr>
          </w:p>
        </w:tc>
      </w:tr>
      <w:tr w14:paraId="4ED17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CB97FC4">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5E1FDB97">
            <w:pPr>
              <w:pStyle w:val="42"/>
              <w:rPr>
                <w:color w:val="000000" w:themeColor="text1"/>
                <w14:textFill>
                  <w14:solidFill>
                    <w14:schemeClr w14:val="tx1"/>
                  </w14:solidFill>
                </w14:textFill>
              </w:rPr>
            </w:pPr>
          </w:p>
        </w:tc>
        <w:tc>
          <w:tcPr>
            <w:tcW w:w="898" w:type="dxa"/>
            <w:vAlign w:val="center"/>
          </w:tcPr>
          <w:p w14:paraId="5F37F7C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动力与传动装置</w:t>
            </w:r>
          </w:p>
        </w:tc>
        <w:tc>
          <w:tcPr>
            <w:tcW w:w="5580" w:type="dxa"/>
            <w:vAlign w:val="center"/>
          </w:tcPr>
          <w:p w14:paraId="2FEF80D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）卷扬机、曳引机安装不牢固，扣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E1ADE1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）卷筒与导向轮底部导向轮的距离小于</w:t>
            </w:r>
            <w:r>
              <w:rPr>
                <w:color w:val="000000" w:themeColor="text1"/>
                <w14:textFill>
                  <w14:solidFill>
                    <w14:schemeClr w14:val="tx1"/>
                  </w14:solidFill>
                </w14:textFill>
              </w:rPr>
              <w:t>20</w:t>
            </w:r>
            <w:r>
              <w:rPr>
                <w:rFonts w:hint="eastAsia"/>
                <w:color w:val="000000" w:themeColor="text1"/>
                <w14:textFill>
                  <w14:solidFill>
                    <w14:schemeClr w14:val="tx1"/>
                  </w14:solidFill>
                </w14:textFill>
              </w:rPr>
              <w:t>倍卷筒宽度未设置排绳器，扣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9CCBE4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）钢丝绳应在卷筒上排列不整齐或端部与卷筒压紧装置连接不牢固，扣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4CA3C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）滑轮与导轨架、吊笼未采用刚性连接，扣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3C0A3C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）滑轮与钢丝绳不匹配，扣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6B2E67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）滑轮、卷筒磨损达到报废标准，扣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65D4C6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）滑轮、卷筒未设置钢丝绳防脱装置或不符合标准要求，扣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F2128C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）当曳引钢丝绳为</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根及以上时，未设置曳引力自动平衡装置，扣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6A37488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867F848">
            <w:pPr>
              <w:pStyle w:val="42"/>
              <w:rPr>
                <w:color w:val="000000" w:themeColor="text1"/>
                <w14:textFill>
                  <w14:solidFill>
                    <w14:schemeClr w14:val="tx1"/>
                  </w14:solidFill>
                </w14:textFill>
              </w:rPr>
            </w:pPr>
          </w:p>
        </w:tc>
        <w:tc>
          <w:tcPr>
            <w:tcW w:w="720" w:type="dxa"/>
            <w:vAlign w:val="center"/>
          </w:tcPr>
          <w:p w14:paraId="0C075F09">
            <w:pPr>
              <w:pStyle w:val="42"/>
              <w:rPr>
                <w:color w:val="000000" w:themeColor="text1"/>
                <w14:textFill>
                  <w14:solidFill>
                    <w14:schemeClr w14:val="tx1"/>
                  </w14:solidFill>
                </w14:textFill>
              </w:rPr>
            </w:pPr>
          </w:p>
        </w:tc>
      </w:tr>
      <w:tr w14:paraId="360D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C1129D9">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6BA7BDCE">
            <w:pPr>
              <w:pStyle w:val="42"/>
              <w:rPr>
                <w:color w:val="000000" w:themeColor="text1"/>
                <w14:textFill>
                  <w14:solidFill>
                    <w14:schemeClr w14:val="tx1"/>
                  </w14:solidFill>
                </w14:textFill>
              </w:rPr>
            </w:pPr>
          </w:p>
        </w:tc>
        <w:tc>
          <w:tcPr>
            <w:tcW w:w="898" w:type="dxa"/>
            <w:vAlign w:val="center"/>
          </w:tcPr>
          <w:p w14:paraId="40A2465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安拆、验收与使用</w:t>
            </w:r>
          </w:p>
        </w:tc>
        <w:tc>
          <w:tcPr>
            <w:tcW w:w="5580" w:type="dxa"/>
            <w:vAlign w:val="center"/>
          </w:tcPr>
          <w:p w14:paraId="0F3D4C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）无制造许可证、产品合格证、备案证明和产品说明书，扣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5EF2CD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）安装、拆卸单位未取得专业承包资质和安全生产许可证，扣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C676B6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）安装、拆卸作业人员及司机未取得特种作业资格证书，扣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615FB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）未编制安装、拆卸专项施工方案或未经审核、审批，扣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42BBA1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）未履行验收程序或验收表无责任人签字，扣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84C319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）验收后未办理使用登记，扣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0BB049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）作业前未按规定进行例行检查或未填写检查记录，扣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5E53B27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）利用物料提升机载运人员，扣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A4961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）每日作业结束后未将吊笼返回最底层停放，扣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EFD04F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）实行多班作业未按规定填写交接班记录，扣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791B0900">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D804C1E">
            <w:pPr>
              <w:pStyle w:val="42"/>
              <w:rPr>
                <w:color w:val="000000" w:themeColor="text1"/>
                <w14:textFill>
                  <w14:solidFill>
                    <w14:schemeClr w14:val="tx1"/>
                  </w14:solidFill>
                </w14:textFill>
              </w:rPr>
            </w:pPr>
          </w:p>
        </w:tc>
        <w:tc>
          <w:tcPr>
            <w:tcW w:w="720" w:type="dxa"/>
            <w:vAlign w:val="center"/>
          </w:tcPr>
          <w:p w14:paraId="00CEA5E9">
            <w:pPr>
              <w:pStyle w:val="42"/>
              <w:rPr>
                <w:color w:val="000000" w:themeColor="text1"/>
                <w14:textFill>
                  <w14:solidFill>
                    <w14:schemeClr w14:val="tx1"/>
                  </w14:solidFill>
                </w14:textFill>
              </w:rPr>
            </w:pPr>
          </w:p>
        </w:tc>
      </w:tr>
      <w:tr w14:paraId="10361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4FE0674">
            <w:pPr>
              <w:pStyle w:val="42"/>
              <w:rPr>
                <w:color w:val="000000" w:themeColor="text1"/>
                <w14:textFill>
                  <w14:solidFill>
                    <w14:schemeClr w14:val="tx1"/>
                  </w14:solidFill>
                </w14:textFill>
              </w:rPr>
            </w:pPr>
          </w:p>
        </w:tc>
        <w:tc>
          <w:tcPr>
            <w:tcW w:w="543" w:type="dxa"/>
            <w:vMerge w:val="continue"/>
            <w:vAlign w:val="center"/>
          </w:tcPr>
          <w:p w14:paraId="6FB6724A">
            <w:pPr>
              <w:pStyle w:val="42"/>
              <w:rPr>
                <w:color w:val="000000" w:themeColor="text1"/>
                <w14:textFill>
                  <w14:solidFill>
                    <w14:schemeClr w14:val="tx1"/>
                  </w14:solidFill>
                </w14:textFill>
              </w:rPr>
            </w:pPr>
          </w:p>
        </w:tc>
        <w:tc>
          <w:tcPr>
            <w:tcW w:w="6478" w:type="dxa"/>
            <w:gridSpan w:val="2"/>
            <w:vAlign w:val="center"/>
          </w:tcPr>
          <w:p w14:paraId="25669D9B">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26A6DAF6">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12540444">
            <w:pPr>
              <w:pStyle w:val="42"/>
              <w:rPr>
                <w:color w:val="000000" w:themeColor="text1"/>
                <w14:textFill>
                  <w14:solidFill>
                    <w14:schemeClr w14:val="tx1"/>
                  </w14:solidFill>
                </w14:textFill>
              </w:rPr>
            </w:pPr>
          </w:p>
        </w:tc>
        <w:tc>
          <w:tcPr>
            <w:tcW w:w="720" w:type="dxa"/>
            <w:vAlign w:val="center"/>
          </w:tcPr>
          <w:p w14:paraId="43536DE1">
            <w:pPr>
              <w:pStyle w:val="42"/>
              <w:rPr>
                <w:color w:val="000000" w:themeColor="text1"/>
                <w14:textFill>
                  <w14:solidFill>
                    <w14:schemeClr w14:val="tx1"/>
                  </w14:solidFill>
                </w14:textFill>
              </w:rPr>
            </w:pPr>
          </w:p>
        </w:tc>
      </w:tr>
      <w:tr w14:paraId="063D7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21E29180">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5596D7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3170973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2FB9471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5A34E54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68D686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基础</w:t>
            </w:r>
          </w:p>
        </w:tc>
        <w:tc>
          <w:tcPr>
            <w:tcW w:w="5580" w:type="dxa"/>
            <w:vAlign w:val="center"/>
          </w:tcPr>
          <w:p w14:paraId="0975168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）基础尺寸、混凝土强度等级及地基承载力不符合产品说明书及标准要求，扣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2DB7D0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）基础未设置防、排水措施，扣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613E7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30m</w:t>
            </w:r>
            <w:r>
              <w:rPr>
                <w:rFonts w:hint="eastAsia"/>
                <w:color w:val="000000" w:themeColor="text1"/>
                <w14:textFill>
                  <w14:solidFill>
                    <w14:schemeClr w14:val="tx1"/>
                  </w14:solidFill>
                </w14:textFill>
              </w:rPr>
              <w:t>及以上物料提升机的基础未进行设计计算，扣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C25F51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32AC736">
            <w:pPr>
              <w:pStyle w:val="42"/>
              <w:rPr>
                <w:color w:val="000000" w:themeColor="text1"/>
                <w14:textFill>
                  <w14:solidFill>
                    <w14:schemeClr w14:val="tx1"/>
                  </w14:solidFill>
                </w14:textFill>
              </w:rPr>
            </w:pPr>
          </w:p>
        </w:tc>
        <w:tc>
          <w:tcPr>
            <w:tcW w:w="720" w:type="dxa"/>
            <w:vAlign w:val="center"/>
          </w:tcPr>
          <w:p w14:paraId="18B7A6AC">
            <w:pPr>
              <w:pStyle w:val="42"/>
              <w:rPr>
                <w:color w:val="000000" w:themeColor="text1"/>
                <w14:textFill>
                  <w14:solidFill>
                    <w14:schemeClr w14:val="tx1"/>
                  </w14:solidFill>
                </w14:textFill>
              </w:rPr>
            </w:pPr>
          </w:p>
        </w:tc>
      </w:tr>
      <w:tr w14:paraId="4A361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FE7F9B0">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3A817B6A">
            <w:pPr>
              <w:pStyle w:val="42"/>
              <w:rPr>
                <w:color w:val="000000" w:themeColor="text1"/>
                <w14:textFill>
                  <w14:solidFill>
                    <w14:schemeClr w14:val="tx1"/>
                  </w14:solidFill>
                </w14:textFill>
              </w:rPr>
            </w:pPr>
          </w:p>
        </w:tc>
        <w:tc>
          <w:tcPr>
            <w:tcW w:w="898" w:type="dxa"/>
            <w:vAlign w:val="center"/>
          </w:tcPr>
          <w:p w14:paraId="31BEC58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吊笼</w:t>
            </w:r>
          </w:p>
        </w:tc>
        <w:tc>
          <w:tcPr>
            <w:tcW w:w="5580" w:type="dxa"/>
          </w:tcPr>
          <w:p w14:paraId="34920B6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）吊笼内净高度小于</w:t>
            </w:r>
            <w:r>
              <w:rPr>
                <w:color w:val="000000" w:themeColor="text1"/>
                <w14:textFill>
                  <w14:solidFill>
                    <w14:schemeClr w14:val="tx1"/>
                  </w14:solidFill>
                </w14:textFill>
              </w:rPr>
              <w:t>2m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92FC20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）吊笼未设置吊笼门，扣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分；未实现定型化，扣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6D4B40B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）吊笼门开启高度低于</w:t>
            </w:r>
            <w:r>
              <w:rPr>
                <w:color w:val="000000" w:themeColor="text1"/>
                <w14:textFill>
                  <w14:solidFill>
                    <w14:schemeClr w14:val="tx1"/>
                  </w14:solidFill>
                </w14:textFill>
              </w:rPr>
              <w:t>1.8m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F189F8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）吊笼门及两侧立面未沿全高度封闭，扣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2E6935E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）吊笼未设置防护顶板，扣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0301A9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）吊笼底板应固定不牢固，扣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47E864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）吊笼底板承载力不符合标准要求或底板有明显变形、锈蚀、破损，扣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8ED9AB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）吊笼未设置有效的滚动导靴，扣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F9AA76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D771E63">
            <w:pPr>
              <w:pStyle w:val="42"/>
              <w:rPr>
                <w:color w:val="000000" w:themeColor="text1"/>
                <w14:textFill>
                  <w14:solidFill>
                    <w14:schemeClr w14:val="tx1"/>
                  </w14:solidFill>
                </w14:textFill>
              </w:rPr>
            </w:pPr>
          </w:p>
        </w:tc>
        <w:tc>
          <w:tcPr>
            <w:tcW w:w="720" w:type="dxa"/>
            <w:vAlign w:val="center"/>
          </w:tcPr>
          <w:p w14:paraId="02C1F1E0">
            <w:pPr>
              <w:pStyle w:val="42"/>
              <w:rPr>
                <w:color w:val="000000" w:themeColor="text1"/>
                <w14:textFill>
                  <w14:solidFill>
                    <w14:schemeClr w14:val="tx1"/>
                  </w14:solidFill>
                </w14:textFill>
              </w:rPr>
            </w:pPr>
          </w:p>
        </w:tc>
      </w:tr>
      <w:tr w14:paraId="4374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30DC743">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038E233D">
            <w:pPr>
              <w:pStyle w:val="42"/>
              <w:rPr>
                <w:color w:val="000000" w:themeColor="text1"/>
                <w14:textFill>
                  <w14:solidFill>
                    <w14:schemeClr w14:val="tx1"/>
                  </w14:solidFill>
                </w14:textFill>
              </w:rPr>
            </w:pPr>
          </w:p>
        </w:tc>
        <w:tc>
          <w:tcPr>
            <w:tcW w:w="898" w:type="dxa"/>
            <w:vAlign w:val="center"/>
          </w:tcPr>
          <w:p w14:paraId="7D0971D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电气安全</w:t>
            </w:r>
          </w:p>
        </w:tc>
        <w:tc>
          <w:tcPr>
            <w:tcW w:w="5580" w:type="dxa"/>
            <w:vAlign w:val="center"/>
          </w:tcPr>
          <w:p w14:paraId="0E1653A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）未设置非自动复位型急停开关或不灵敏，扣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9B8A4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）物料提升机在其他避雷装置保护范围以外未设置避雷装置，扣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分；避雷接地装置不符合标准要求，扣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CB1C7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）金属结构和所有电气设备系统金属外壳未进行可靠接地，扣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2A3773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）工作照明开关未与主电源开关相互独立，扣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9B3236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）动力设备的控制开关采用倒顺开关，扣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D9E26D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BEFE1D6">
            <w:pPr>
              <w:pStyle w:val="42"/>
              <w:rPr>
                <w:color w:val="000000" w:themeColor="text1"/>
                <w14:textFill>
                  <w14:solidFill>
                    <w14:schemeClr w14:val="tx1"/>
                  </w14:solidFill>
                </w14:textFill>
              </w:rPr>
            </w:pPr>
          </w:p>
        </w:tc>
        <w:tc>
          <w:tcPr>
            <w:tcW w:w="720" w:type="dxa"/>
            <w:vAlign w:val="center"/>
          </w:tcPr>
          <w:p w14:paraId="457D3177">
            <w:pPr>
              <w:pStyle w:val="42"/>
              <w:rPr>
                <w:color w:val="000000" w:themeColor="text1"/>
                <w14:textFill>
                  <w14:solidFill>
                    <w14:schemeClr w14:val="tx1"/>
                  </w14:solidFill>
                </w14:textFill>
              </w:rPr>
            </w:pPr>
          </w:p>
        </w:tc>
      </w:tr>
      <w:tr w14:paraId="4107A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BA8975F">
            <w:pPr>
              <w:pStyle w:val="42"/>
              <w:rPr>
                <w:color w:val="000000" w:themeColor="text1"/>
                <w14:textFill>
                  <w14:solidFill>
                    <w14:schemeClr w14:val="tx1"/>
                  </w14:solidFill>
                </w14:textFill>
              </w:rPr>
            </w:pPr>
          </w:p>
        </w:tc>
        <w:tc>
          <w:tcPr>
            <w:tcW w:w="543" w:type="dxa"/>
            <w:vMerge w:val="continue"/>
          </w:tcPr>
          <w:p w14:paraId="6E989479">
            <w:pPr>
              <w:pStyle w:val="42"/>
              <w:rPr>
                <w:color w:val="000000" w:themeColor="text1"/>
                <w14:textFill>
                  <w14:solidFill>
                    <w14:schemeClr w14:val="tx1"/>
                  </w14:solidFill>
                </w14:textFill>
              </w:rPr>
            </w:pPr>
          </w:p>
        </w:tc>
        <w:tc>
          <w:tcPr>
            <w:tcW w:w="6478" w:type="dxa"/>
            <w:gridSpan w:val="2"/>
            <w:vAlign w:val="center"/>
          </w:tcPr>
          <w:p w14:paraId="61BFD27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2A42FC6C">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0B369553">
            <w:pPr>
              <w:pStyle w:val="42"/>
              <w:rPr>
                <w:color w:val="000000" w:themeColor="text1"/>
                <w14:textFill>
                  <w14:solidFill>
                    <w14:schemeClr w14:val="tx1"/>
                  </w14:solidFill>
                </w14:textFill>
              </w:rPr>
            </w:pPr>
          </w:p>
        </w:tc>
        <w:tc>
          <w:tcPr>
            <w:tcW w:w="720" w:type="dxa"/>
            <w:vAlign w:val="center"/>
          </w:tcPr>
          <w:p w14:paraId="542FC2AB">
            <w:pPr>
              <w:pStyle w:val="42"/>
              <w:rPr>
                <w:color w:val="000000" w:themeColor="text1"/>
                <w14:textFill>
                  <w14:solidFill>
                    <w14:schemeClr w14:val="tx1"/>
                  </w14:solidFill>
                </w14:textFill>
              </w:rPr>
            </w:pPr>
          </w:p>
        </w:tc>
      </w:tr>
      <w:tr w14:paraId="5E8F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63E111D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2BAB849A">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1528BB58">
            <w:pPr>
              <w:pStyle w:val="42"/>
              <w:rPr>
                <w:color w:val="000000" w:themeColor="text1"/>
                <w14:textFill>
                  <w14:solidFill>
                    <w14:schemeClr w14:val="tx1"/>
                  </w14:solidFill>
                </w14:textFill>
              </w:rPr>
            </w:pPr>
          </w:p>
        </w:tc>
        <w:tc>
          <w:tcPr>
            <w:tcW w:w="720" w:type="dxa"/>
            <w:vAlign w:val="center"/>
          </w:tcPr>
          <w:p w14:paraId="7EC7A2DF">
            <w:pPr>
              <w:pStyle w:val="42"/>
              <w:rPr>
                <w:color w:val="000000" w:themeColor="text1"/>
                <w14:textFill>
                  <w14:solidFill>
                    <w14:schemeClr w14:val="tx1"/>
                  </w14:solidFill>
                </w14:textFill>
              </w:rPr>
            </w:pPr>
          </w:p>
        </w:tc>
      </w:tr>
    </w:tbl>
    <w:p w14:paraId="44E62A52">
      <w:pPr>
        <w:rPr>
          <w:color w:val="000000" w:themeColor="text1"/>
          <w14:textFill>
            <w14:solidFill>
              <w14:schemeClr w14:val="tx1"/>
            </w14:solidFill>
          </w14:textFill>
        </w:rPr>
      </w:pPr>
    </w:p>
    <w:p w14:paraId="5F0B823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93" w:name="_Toc4961"/>
      <w:bookmarkStart w:id="94" w:name="_Toc9644"/>
      <w:bookmarkStart w:id="95" w:name="_Toc23928"/>
      <w:r>
        <w:rPr>
          <w:rFonts w:hint="eastAsia"/>
          <w:color w:val="000000" w:themeColor="text1"/>
          <w14:textFill>
            <w14:solidFill>
              <w14:schemeClr w14:val="tx1"/>
            </w14:solidFill>
          </w14:textFill>
        </w:rPr>
        <w:t>表</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1  缆索起重机检查</w:t>
      </w:r>
      <w:r>
        <w:rPr>
          <w:color w:val="000000" w:themeColor="text1"/>
          <w14:textFill>
            <w14:solidFill>
              <w14:schemeClr w14:val="tx1"/>
            </w14:solidFill>
          </w14:textFill>
        </w:rPr>
        <w:t>评分表</w:t>
      </w:r>
      <w:bookmarkEnd w:id="93"/>
      <w:bookmarkEnd w:id="94"/>
      <w:bookmarkEnd w:id="95"/>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426CF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42F26CC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7188D29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7707085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2541631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6E3A373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57209D08">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9CFDC5B">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74970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1AFBE206">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0E07D1D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6722DF8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0281E61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66229B9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3342BCA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40373D6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分；编制内容不全，扣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4104D5C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）缆索起重机系统未编制完整的设计文件或未对受力结构、构件和附属设施进行设计计算，扣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分，设计文件中图纸或计算书不齐全，扣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41D7B2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）起重量</w:t>
            </w:r>
            <w:r>
              <w:rPr>
                <w:color w:val="000000" w:themeColor="text1"/>
                <w14:textFill>
                  <w14:solidFill>
                    <w14:schemeClr w14:val="tx1"/>
                  </w14:solidFill>
                </w14:textFill>
              </w:rPr>
              <w:t>300kN</w:t>
            </w:r>
            <w:r>
              <w:rPr>
                <w:rFonts w:hint="eastAsia"/>
                <w:color w:val="000000" w:themeColor="text1"/>
                <w14:textFill>
                  <w14:solidFill>
                    <w14:schemeClr w14:val="tx1"/>
                  </w14:solidFill>
                </w14:textFill>
              </w:rPr>
              <w:t>及以上的缆索起重机安装工程的专项施工方案，未按规定组织专家论证，扣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7BF70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C0A9A3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5D155BDB">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B6CF8E5">
            <w:pPr>
              <w:pStyle w:val="42"/>
              <w:rPr>
                <w:color w:val="000000" w:themeColor="text1"/>
                <w14:textFill>
                  <w14:solidFill>
                    <w14:schemeClr w14:val="tx1"/>
                  </w14:solidFill>
                </w14:textFill>
              </w:rPr>
            </w:pPr>
          </w:p>
        </w:tc>
        <w:tc>
          <w:tcPr>
            <w:tcW w:w="720" w:type="dxa"/>
            <w:vAlign w:val="center"/>
          </w:tcPr>
          <w:p w14:paraId="5644F9CD">
            <w:pPr>
              <w:pStyle w:val="42"/>
              <w:rPr>
                <w:color w:val="000000" w:themeColor="text1"/>
                <w14:textFill>
                  <w14:solidFill>
                    <w14:schemeClr w14:val="tx1"/>
                  </w14:solidFill>
                </w14:textFill>
              </w:rPr>
            </w:pPr>
          </w:p>
        </w:tc>
      </w:tr>
      <w:tr w14:paraId="04ED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69037286">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28E4DCEB">
            <w:pPr>
              <w:pStyle w:val="42"/>
              <w:rPr>
                <w:color w:val="000000" w:themeColor="text1"/>
                <w14:textFill>
                  <w14:solidFill>
                    <w14:schemeClr w14:val="tx1"/>
                  </w14:solidFill>
                </w14:textFill>
              </w:rPr>
            </w:pPr>
          </w:p>
        </w:tc>
        <w:tc>
          <w:tcPr>
            <w:tcW w:w="898" w:type="dxa"/>
            <w:vAlign w:val="center"/>
          </w:tcPr>
          <w:p w14:paraId="64AB932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构配件材质</w:t>
            </w:r>
          </w:p>
        </w:tc>
        <w:tc>
          <w:tcPr>
            <w:tcW w:w="5580" w:type="dxa"/>
            <w:vAlign w:val="center"/>
          </w:tcPr>
          <w:p w14:paraId="1A1A1FF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）承重结构构配件和连接件无质量合格证、材质证明，扣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分；其品种、规格、型号、材质不符合方案设计和相关标准要求，扣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71FCD5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）未按相关标准对主要受力钢丝绳进行力学性能抽检，扣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0A2A1BC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）索鞍、跑车与吊点、铰座未交由专业工厂加工制作或无出厂合格证和无损探伤监测记录，扣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3E93620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）索鞍、跑车与吊点、铰座无无损探伤检测记录，扣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0E0D417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）缆索起重机所采用的液压或卷扬装置无产品合格证，扣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AD50F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）索塔塔架构配件有明显变形、锈蚀及外观缺陷，扣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B5EFEB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）钢丝绳磨损、断丝、变形、锈蚀达到报废标准，扣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B08CB4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）吊钩、卷筒、滑轮磨损达到报废标准扣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5FD9E7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EFDA76D">
            <w:pPr>
              <w:pStyle w:val="42"/>
              <w:rPr>
                <w:color w:val="000000" w:themeColor="text1"/>
                <w14:textFill>
                  <w14:solidFill>
                    <w14:schemeClr w14:val="tx1"/>
                  </w14:solidFill>
                </w14:textFill>
              </w:rPr>
            </w:pPr>
          </w:p>
        </w:tc>
        <w:tc>
          <w:tcPr>
            <w:tcW w:w="720" w:type="dxa"/>
            <w:vAlign w:val="center"/>
          </w:tcPr>
          <w:p w14:paraId="58D1EF4C">
            <w:pPr>
              <w:pStyle w:val="42"/>
              <w:rPr>
                <w:color w:val="000000" w:themeColor="text1"/>
                <w14:textFill>
                  <w14:solidFill>
                    <w14:schemeClr w14:val="tx1"/>
                  </w14:solidFill>
                </w14:textFill>
              </w:rPr>
            </w:pPr>
          </w:p>
        </w:tc>
      </w:tr>
      <w:tr w14:paraId="2242A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4E6D41C">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B1117FE">
            <w:pPr>
              <w:pStyle w:val="42"/>
              <w:rPr>
                <w:color w:val="000000" w:themeColor="text1"/>
                <w14:textFill>
                  <w14:solidFill>
                    <w14:schemeClr w14:val="tx1"/>
                  </w14:solidFill>
                </w14:textFill>
              </w:rPr>
            </w:pPr>
          </w:p>
        </w:tc>
        <w:tc>
          <w:tcPr>
            <w:tcW w:w="898" w:type="dxa"/>
            <w:vAlign w:val="center"/>
          </w:tcPr>
          <w:p w14:paraId="036DC83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索塔</w:t>
            </w:r>
          </w:p>
        </w:tc>
        <w:tc>
          <w:tcPr>
            <w:tcW w:w="5580" w:type="dxa"/>
            <w:vAlign w:val="center"/>
          </w:tcPr>
          <w:p w14:paraId="0423194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）地基承载力无检测报告，或承载力特征值不符合方案设计要求，扣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452281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）基础周围未设置防、排水措施，扣</w:t>
            </w:r>
            <w:r>
              <w:rPr>
                <w:color w:val="000000" w:themeColor="text1"/>
                <w14:textFill>
                  <w14:solidFill>
                    <w14:schemeClr w14:val="tx1"/>
                  </w14:solidFill>
                </w14:textFill>
              </w:rPr>
              <w:t>1-3</w:t>
            </w:r>
            <w:r>
              <w:rPr>
                <w:rFonts w:hint="eastAsia"/>
                <w:color w:val="000000" w:themeColor="text1"/>
                <w14:textFill>
                  <w14:solidFill>
                    <w14:schemeClr w14:val="tx1"/>
                  </w14:solidFill>
                </w14:textFill>
              </w:rPr>
              <w:t>分</w:t>
            </w:r>
          </w:p>
          <w:p w14:paraId="535F24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）塔架基础形式、尺寸、材料不符合专项施工方案要求，扣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858C6A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）塔架结构构造不符合方案设计要求，或架体不牢固、稳定，扣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2B6969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）当主索鞍采用滑动或滚动方式时索鞍轮直径小于</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倍主索直径，或当主索鞍与主索锁定时索鞍曲率半径不满足主索受力要求，扣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491B61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）主索鞍在横向未设支撑装置，扣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4009B0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）索鞍横移或塔架整体横移时未做专项设计或未采取有效措施，扣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17FA9C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）索塔的纵横向未按方案设计要求设置风缆及地锚，扣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DA259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）塔架顶部未按相关标准要求设置避雷装置，扣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1D52CD5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9C7E889">
            <w:pPr>
              <w:pStyle w:val="42"/>
              <w:rPr>
                <w:color w:val="000000" w:themeColor="text1"/>
                <w14:textFill>
                  <w14:solidFill>
                    <w14:schemeClr w14:val="tx1"/>
                  </w14:solidFill>
                </w14:textFill>
              </w:rPr>
            </w:pPr>
          </w:p>
        </w:tc>
        <w:tc>
          <w:tcPr>
            <w:tcW w:w="720" w:type="dxa"/>
            <w:vAlign w:val="center"/>
          </w:tcPr>
          <w:p w14:paraId="200B9181">
            <w:pPr>
              <w:pStyle w:val="42"/>
              <w:rPr>
                <w:color w:val="000000" w:themeColor="text1"/>
                <w14:textFill>
                  <w14:solidFill>
                    <w14:schemeClr w14:val="tx1"/>
                  </w14:solidFill>
                </w14:textFill>
              </w:rPr>
            </w:pPr>
          </w:p>
        </w:tc>
      </w:tr>
      <w:tr w14:paraId="728FD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6A90D9C">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0FC997B2">
            <w:pPr>
              <w:pStyle w:val="42"/>
              <w:rPr>
                <w:color w:val="000000" w:themeColor="text1"/>
                <w14:textFill>
                  <w14:solidFill>
                    <w14:schemeClr w14:val="tx1"/>
                  </w14:solidFill>
                </w14:textFill>
              </w:rPr>
            </w:pPr>
          </w:p>
        </w:tc>
        <w:tc>
          <w:tcPr>
            <w:tcW w:w="898" w:type="dxa"/>
            <w:vAlign w:val="center"/>
          </w:tcPr>
          <w:p w14:paraId="4E20F54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缆索与锚碇</w:t>
            </w:r>
          </w:p>
        </w:tc>
        <w:tc>
          <w:tcPr>
            <w:tcW w:w="5580" w:type="dxa"/>
            <w:vAlign w:val="center"/>
          </w:tcPr>
          <w:p w14:paraId="4B6CC95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）主承重索、牵引索、起重索、缆风索、工作索、扣索的规格、型号、数量以及穿绕布置方式不符合方案设计要求，扣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B71EA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）同一组主承重索跨中垂度误差大于</w:t>
            </w:r>
            <w:r>
              <w:rPr>
                <w:color w:val="000000" w:themeColor="text1"/>
                <w14:textFill>
                  <w14:solidFill>
                    <w14:schemeClr w14:val="tx1"/>
                  </w14:solidFill>
                </w14:textFill>
              </w:rPr>
              <w:t>100mm</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0FD97A3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）缆索安全系数不符合要求，扣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E6F250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）主承重索与锚碇连接处夹角超出</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~30</w:t>
            </w:r>
            <w:r>
              <w:rPr>
                <w:rFonts w:hint="eastAsia"/>
                <w:color w:val="000000" w:themeColor="text1"/>
                <w14:textFill>
                  <w14:solidFill>
                    <w14:schemeClr w14:val="tx1"/>
                  </w14:solidFill>
                </w14:textFill>
              </w:rPr>
              <w:t>°的范围，扣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p w14:paraId="58CEF6C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）锚碇形式、尺寸、材料不符合专项施工方案要求，扣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7DA06B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）锚碇未抽取有代表性的结构进行锚固试验，扣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6AC21E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）锚碇抗滑移及抗拔安全系数小于</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，或抗倾覆安全系数小于</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815016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）锚碇布置在水中时，无防碰撞、防冲刷措施和缆索抗振措施，扣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08E477DF">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1E24551C">
            <w:pPr>
              <w:pStyle w:val="42"/>
              <w:rPr>
                <w:color w:val="000000" w:themeColor="text1"/>
                <w14:textFill>
                  <w14:solidFill>
                    <w14:schemeClr w14:val="tx1"/>
                  </w14:solidFill>
                </w14:textFill>
              </w:rPr>
            </w:pPr>
          </w:p>
        </w:tc>
        <w:tc>
          <w:tcPr>
            <w:tcW w:w="720" w:type="dxa"/>
            <w:vAlign w:val="center"/>
          </w:tcPr>
          <w:p w14:paraId="76E2E034">
            <w:pPr>
              <w:pStyle w:val="42"/>
              <w:rPr>
                <w:color w:val="000000" w:themeColor="text1"/>
                <w14:textFill>
                  <w14:solidFill>
                    <w14:schemeClr w14:val="tx1"/>
                  </w14:solidFill>
                </w14:textFill>
              </w:rPr>
            </w:pPr>
          </w:p>
        </w:tc>
      </w:tr>
      <w:tr w14:paraId="6DB4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41DDDF88">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6DA5FC41">
            <w:pPr>
              <w:pStyle w:val="42"/>
              <w:rPr>
                <w:color w:val="000000" w:themeColor="text1"/>
                <w14:textFill>
                  <w14:solidFill>
                    <w14:schemeClr w14:val="tx1"/>
                  </w14:solidFill>
                </w14:textFill>
              </w:rPr>
            </w:pPr>
          </w:p>
        </w:tc>
        <w:tc>
          <w:tcPr>
            <w:tcW w:w="898" w:type="dxa"/>
            <w:vAlign w:val="center"/>
          </w:tcPr>
          <w:p w14:paraId="3F9D7E17">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扣挂系统</w:t>
            </w:r>
          </w:p>
        </w:tc>
        <w:tc>
          <w:tcPr>
            <w:tcW w:w="5580" w:type="dxa"/>
            <w:vAlign w:val="center"/>
          </w:tcPr>
          <w:p w14:paraId="0A909E4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）扣塔上索鞍顶面高程底于拱肋扣点高程，扣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2C17C8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）吊装拱肋未按方案设计要求设置扣索和风缆，扣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79F1FFA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）扣索位置或扣索合力位置与所扣挂拱肋不在同一竖直面内，扣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A9145D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）风缆及地锚不符合方案设计要求，或不满足吊装段挂扣稳定要求，扣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E790B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）提前拆除固定风缆，扣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6D4745F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）在河流中设置拱肋稳定缆风索时，未按方案设计要求采取可靠防护措施或减振措施，扣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AB8483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09646A7">
            <w:pPr>
              <w:pStyle w:val="42"/>
              <w:rPr>
                <w:color w:val="000000" w:themeColor="text1"/>
                <w14:textFill>
                  <w14:solidFill>
                    <w14:schemeClr w14:val="tx1"/>
                  </w14:solidFill>
                </w14:textFill>
              </w:rPr>
            </w:pPr>
          </w:p>
        </w:tc>
        <w:tc>
          <w:tcPr>
            <w:tcW w:w="720" w:type="dxa"/>
            <w:vAlign w:val="center"/>
          </w:tcPr>
          <w:p w14:paraId="568F42AA">
            <w:pPr>
              <w:pStyle w:val="42"/>
              <w:rPr>
                <w:color w:val="000000" w:themeColor="text1"/>
                <w14:textFill>
                  <w14:solidFill>
                    <w14:schemeClr w14:val="tx1"/>
                  </w14:solidFill>
                </w14:textFill>
              </w:rPr>
            </w:pPr>
          </w:p>
        </w:tc>
      </w:tr>
      <w:tr w14:paraId="5DA94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4AE85F2">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72F4B702">
            <w:pPr>
              <w:pStyle w:val="42"/>
              <w:rPr>
                <w:color w:val="000000" w:themeColor="text1"/>
                <w14:textFill>
                  <w14:solidFill>
                    <w14:schemeClr w14:val="tx1"/>
                  </w14:solidFill>
                </w14:textFill>
              </w:rPr>
            </w:pPr>
          </w:p>
        </w:tc>
        <w:tc>
          <w:tcPr>
            <w:tcW w:w="898" w:type="dxa"/>
            <w:vAlign w:val="center"/>
          </w:tcPr>
          <w:p w14:paraId="5727C2E1">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跑车及吊点</w:t>
            </w:r>
          </w:p>
        </w:tc>
        <w:tc>
          <w:tcPr>
            <w:tcW w:w="5580" w:type="dxa"/>
            <w:vAlign w:val="center"/>
          </w:tcPr>
          <w:p w14:paraId="74DEF42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）跑车走行轮槽与主索钢丝绳不吻合，或走行轮轮径不满足主索钢丝绳受力及耐久性要求；扣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51B68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）吊点上下挂架及滑车组连接不牢固稳妥，扣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E17C85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）未按标准要求安装起重量限制器或不灵敏，扣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8116C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）未设置垂直起吊和水平运输行程限位器或不灵敏，扣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EE0D8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）吊钩的规格、型号不符合方案设计及说明书要求，或未按标准要求设置防脱钩装置，扣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51858C6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3BBDBBD">
            <w:pPr>
              <w:pStyle w:val="42"/>
              <w:rPr>
                <w:color w:val="000000" w:themeColor="text1"/>
                <w14:textFill>
                  <w14:solidFill>
                    <w14:schemeClr w14:val="tx1"/>
                  </w14:solidFill>
                </w14:textFill>
              </w:rPr>
            </w:pPr>
          </w:p>
        </w:tc>
        <w:tc>
          <w:tcPr>
            <w:tcW w:w="720" w:type="dxa"/>
            <w:vAlign w:val="center"/>
          </w:tcPr>
          <w:p w14:paraId="0081D105">
            <w:pPr>
              <w:pStyle w:val="42"/>
              <w:rPr>
                <w:color w:val="000000" w:themeColor="text1"/>
                <w14:textFill>
                  <w14:solidFill>
                    <w14:schemeClr w14:val="tx1"/>
                  </w14:solidFill>
                </w14:textFill>
              </w:rPr>
            </w:pPr>
          </w:p>
        </w:tc>
      </w:tr>
      <w:tr w14:paraId="19829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703A79F">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4504A6A4">
            <w:pPr>
              <w:pStyle w:val="42"/>
              <w:rPr>
                <w:color w:val="000000" w:themeColor="text1"/>
                <w14:textFill>
                  <w14:solidFill>
                    <w14:schemeClr w14:val="tx1"/>
                  </w14:solidFill>
                </w14:textFill>
              </w:rPr>
            </w:pPr>
          </w:p>
        </w:tc>
        <w:tc>
          <w:tcPr>
            <w:tcW w:w="898" w:type="dxa"/>
            <w:vAlign w:val="center"/>
          </w:tcPr>
          <w:p w14:paraId="1C5F3C9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安装、拆卸与验收</w:t>
            </w:r>
          </w:p>
        </w:tc>
        <w:tc>
          <w:tcPr>
            <w:tcW w:w="5580" w:type="dxa"/>
            <w:vAlign w:val="center"/>
          </w:tcPr>
          <w:p w14:paraId="18C8460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）缆索起重机无制造许可证、产品合格证、备案证明和使用说明书，扣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61F19D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）缆索起重机安装、改造、拆卸、维修单位未取得专业承包资质和安全生产许可证，扣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335223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）安装、拆卸特种作业人员未取得特种作业资格证书，扣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DFF59B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）塔架高度、主跨和边跨长度、主索初始垂度、主索初始安装张力、跨中最大载重下的垂跨比、初始塔偏不符合方案设计规定，每项扣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102FC1F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）构件螺栓连接时对螺栓孔进行切割扩孔，扣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701D412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）焊接各部位焊缝有显著焊接缺陷，每处扣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557EC0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）螺栓连接或销接处不紧密，每处扣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0CDA9F7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）锚碇、塔架施工完成后未按照相关标准要求进行专项验收，扣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340BBEE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）安装完成后未履行验收程序或未经责任人签字确认，扣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CCB678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）验收后未办理使用登记，扣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35DF2D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）塔架拆除未维持塔架框架结构，或未及时调整缆风绳高度，扣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69BC63BA">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6BE1626">
            <w:pPr>
              <w:pStyle w:val="42"/>
              <w:rPr>
                <w:color w:val="000000" w:themeColor="text1"/>
                <w14:textFill>
                  <w14:solidFill>
                    <w14:schemeClr w14:val="tx1"/>
                  </w14:solidFill>
                </w14:textFill>
              </w:rPr>
            </w:pPr>
          </w:p>
        </w:tc>
        <w:tc>
          <w:tcPr>
            <w:tcW w:w="720" w:type="dxa"/>
            <w:vAlign w:val="center"/>
          </w:tcPr>
          <w:p w14:paraId="225C6212">
            <w:pPr>
              <w:pStyle w:val="42"/>
              <w:rPr>
                <w:color w:val="000000" w:themeColor="text1"/>
                <w14:textFill>
                  <w14:solidFill>
                    <w14:schemeClr w14:val="tx1"/>
                  </w14:solidFill>
                </w14:textFill>
              </w:rPr>
            </w:pPr>
          </w:p>
        </w:tc>
      </w:tr>
      <w:tr w14:paraId="5097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7562ECE">
            <w:pPr>
              <w:pStyle w:val="42"/>
              <w:rPr>
                <w:color w:val="000000" w:themeColor="text1"/>
                <w14:textFill>
                  <w14:solidFill>
                    <w14:schemeClr w14:val="tx1"/>
                  </w14:solidFill>
                </w14:textFill>
              </w:rPr>
            </w:pPr>
          </w:p>
        </w:tc>
        <w:tc>
          <w:tcPr>
            <w:tcW w:w="543" w:type="dxa"/>
            <w:vMerge w:val="continue"/>
            <w:vAlign w:val="center"/>
          </w:tcPr>
          <w:p w14:paraId="3AD461C2">
            <w:pPr>
              <w:pStyle w:val="42"/>
              <w:rPr>
                <w:color w:val="000000" w:themeColor="text1"/>
                <w14:textFill>
                  <w14:solidFill>
                    <w14:schemeClr w14:val="tx1"/>
                  </w14:solidFill>
                </w14:textFill>
              </w:rPr>
            </w:pPr>
          </w:p>
        </w:tc>
        <w:tc>
          <w:tcPr>
            <w:tcW w:w="6478" w:type="dxa"/>
            <w:gridSpan w:val="2"/>
            <w:vAlign w:val="center"/>
          </w:tcPr>
          <w:p w14:paraId="021FBFF5">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3DA1BE63">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5B87AB26">
            <w:pPr>
              <w:pStyle w:val="42"/>
              <w:rPr>
                <w:color w:val="000000" w:themeColor="text1"/>
                <w14:textFill>
                  <w14:solidFill>
                    <w14:schemeClr w14:val="tx1"/>
                  </w14:solidFill>
                </w14:textFill>
              </w:rPr>
            </w:pPr>
          </w:p>
        </w:tc>
        <w:tc>
          <w:tcPr>
            <w:tcW w:w="720" w:type="dxa"/>
            <w:vAlign w:val="center"/>
          </w:tcPr>
          <w:p w14:paraId="256737D9">
            <w:pPr>
              <w:pStyle w:val="42"/>
              <w:rPr>
                <w:color w:val="000000" w:themeColor="text1"/>
                <w14:textFill>
                  <w14:solidFill>
                    <w14:schemeClr w14:val="tx1"/>
                  </w14:solidFill>
                </w14:textFill>
              </w:rPr>
            </w:pPr>
          </w:p>
        </w:tc>
      </w:tr>
      <w:tr w14:paraId="0208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55304C44">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0ED8311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0ABC1ADC">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5F6AF734">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3A3DDDF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211AE7C0">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动力及传统机构</w:t>
            </w:r>
          </w:p>
        </w:tc>
        <w:tc>
          <w:tcPr>
            <w:tcW w:w="5580" w:type="dxa"/>
            <w:vAlign w:val="center"/>
          </w:tcPr>
          <w:p w14:paraId="33D957E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）卷扬机底座不平稳，或地龙锚固不可靠，扣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5A1F4D4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）吊钩、滑轮、卷筒未设置钢丝绳防脱装置或装置失效，扣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463FA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）滑轮轮径或绳槽半径与钢丝绳绳径相不匹配，扣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088A5D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）缆索钢丝绳的规格、型号不符合产品说明书要求或端部固接方式不符合标准要求，扣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4CF188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）卷筒上钢丝绳尾端未按规定设置安全可靠的固定装置，扣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F4A5F1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）钢丝绳全部放出时，卷筒上钢丝绳少于</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BB55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）索具安全系数不符合标准要求，扣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118D50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）索具端部固接方式应符合标准要求，扣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tc>
        <w:tc>
          <w:tcPr>
            <w:tcW w:w="720" w:type="dxa"/>
            <w:vAlign w:val="center"/>
          </w:tcPr>
          <w:p w14:paraId="2B03F1C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3C5C514">
            <w:pPr>
              <w:pStyle w:val="42"/>
              <w:rPr>
                <w:color w:val="000000" w:themeColor="text1"/>
                <w14:textFill>
                  <w14:solidFill>
                    <w14:schemeClr w14:val="tx1"/>
                  </w14:solidFill>
                </w14:textFill>
              </w:rPr>
            </w:pPr>
          </w:p>
        </w:tc>
        <w:tc>
          <w:tcPr>
            <w:tcW w:w="720" w:type="dxa"/>
            <w:vAlign w:val="center"/>
          </w:tcPr>
          <w:p w14:paraId="3FFC2081">
            <w:pPr>
              <w:pStyle w:val="42"/>
              <w:rPr>
                <w:color w:val="000000" w:themeColor="text1"/>
                <w14:textFill>
                  <w14:solidFill>
                    <w14:schemeClr w14:val="tx1"/>
                  </w14:solidFill>
                </w14:textFill>
              </w:rPr>
            </w:pPr>
          </w:p>
        </w:tc>
      </w:tr>
      <w:tr w14:paraId="0931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8D4279B">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5B5E6A25">
            <w:pPr>
              <w:pStyle w:val="42"/>
              <w:rPr>
                <w:color w:val="000000" w:themeColor="text1"/>
                <w14:textFill>
                  <w14:solidFill>
                    <w14:schemeClr w14:val="tx1"/>
                  </w14:solidFill>
                </w14:textFill>
              </w:rPr>
            </w:pPr>
          </w:p>
        </w:tc>
        <w:tc>
          <w:tcPr>
            <w:tcW w:w="898" w:type="dxa"/>
            <w:vAlign w:val="center"/>
          </w:tcPr>
          <w:p w14:paraId="061D432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吊装与监测</w:t>
            </w:r>
          </w:p>
        </w:tc>
        <w:tc>
          <w:tcPr>
            <w:tcW w:w="5580" w:type="dxa"/>
            <w:vAlign w:val="center"/>
          </w:tcPr>
          <w:p w14:paraId="3443043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）安装完成后未按设计荷载进行静、动载试吊，扣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2782F4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）试吊过程中未对各部位工作性能进行检查或检查记录不全，扣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29C9B7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）试吊过程中未对塔架顶偏位、锚碇位移、主索索力进行观测或观测记录不全，扣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703033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）试吊结束后未形成试吊报告或未交缆索起重机设计单位核算是否符合设计要求，扣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51690F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）起重司机、信号工、司索工未取得特种作业资格证书，扣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B5A0F0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）缆索起重机使用过程中未对缆索起重机各部位进行监测，扣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分监测记录不全，扣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p w14:paraId="241046A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）吊装施工中主塔和扣塔塔顶最大偏位超过设计值或标准允许值，扣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65A9010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）缆索起重机使用期间未按规定形成交接班检查、日常检查和周期检查记录，扣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47F737B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9</w:t>
            </w:r>
            <w:r>
              <w:rPr>
                <w:rFonts w:hint="eastAsia"/>
                <w:color w:val="000000" w:themeColor="text1"/>
                <w14:textFill>
                  <w14:solidFill>
                    <w14:schemeClr w14:val="tx1"/>
                  </w14:solidFill>
                </w14:textFill>
              </w:rPr>
              <w:t>）除正常检修和维护保养外，使用缆索起重机载运人员，扣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A1591A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10</w:t>
            </w:r>
            <w:r>
              <w:rPr>
                <w:rFonts w:hint="eastAsia"/>
                <w:color w:val="000000" w:themeColor="text1"/>
                <w14:textFill>
                  <w14:solidFill>
                    <w14:schemeClr w14:val="tx1"/>
                  </w14:solidFill>
                </w14:textFill>
              </w:rPr>
              <w:t>）超过一定规模的缆索起重机未配备集中监控系统，扣</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w:t>
            </w:r>
          </w:p>
        </w:tc>
        <w:tc>
          <w:tcPr>
            <w:tcW w:w="720" w:type="dxa"/>
            <w:vAlign w:val="center"/>
          </w:tcPr>
          <w:p w14:paraId="47636B16">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AD40261">
            <w:pPr>
              <w:pStyle w:val="42"/>
              <w:rPr>
                <w:color w:val="000000" w:themeColor="text1"/>
                <w14:textFill>
                  <w14:solidFill>
                    <w14:schemeClr w14:val="tx1"/>
                  </w14:solidFill>
                </w14:textFill>
              </w:rPr>
            </w:pPr>
          </w:p>
        </w:tc>
        <w:tc>
          <w:tcPr>
            <w:tcW w:w="720" w:type="dxa"/>
            <w:vAlign w:val="center"/>
          </w:tcPr>
          <w:p w14:paraId="789AA151">
            <w:pPr>
              <w:pStyle w:val="42"/>
              <w:rPr>
                <w:color w:val="000000" w:themeColor="text1"/>
                <w14:textFill>
                  <w14:solidFill>
                    <w14:schemeClr w14:val="tx1"/>
                  </w14:solidFill>
                </w14:textFill>
              </w:rPr>
            </w:pPr>
          </w:p>
        </w:tc>
      </w:tr>
      <w:tr w14:paraId="19ED9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78BB0CFF">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42E7F017">
            <w:pPr>
              <w:pStyle w:val="42"/>
              <w:rPr>
                <w:color w:val="000000" w:themeColor="text1"/>
                <w14:textFill>
                  <w14:solidFill>
                    <w14:schemeClr w14:val="tx1"/>
                  </w14:solidFill>
                </w14:textFill>
              </w:rPr>
            </w:pPr>
          </w:p>
        </w:tc>
        <w:tc>
          <w:tcPr>
            <w:tcW w:w="898" w:type="dxa"/>
            <w:vAlign w:val="center"/>
          </w:tcPr>
          <w:p w14:paraId="73CAD10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安全防护</w:t>
            </w:r>
          </w:p>
        </w:tc>
        <w:tc>
          <w:tcPr>
            <w:tcW w:w="5580" w:type="dxa"/>
            <w:vAlign w:val="center"/>
          </w:tcPr>
          <w:p w14:paraId="036134F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）滑轮和索道系统上冰雪未及时碾除，扣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FD1025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）人员上下操作或检查未设置专用通道，扣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分；通道设置不符合标准要求，扣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88B121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）缆索起重机塔顶或其他操作部位未设置操作平台，扣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63A124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）操作平台周边未设置防护栏杆、挡脚板，扣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分，设置不符合临边作业防护要求，扣</w:t>
            </w:r>
            <w:r>
              <w:rPr>
                <w:color w:val="000000" w:themeColor="text1"/>
                <w14:textFill>
                  <w14:solidFill>
                    <w14:schemeClr w14:val="tx1"/>
                  </w14:solidFill>
                </w14:textFill>
              </w:rPr>
              <w:t>3-8</w:t>
            </w:r>
            <w:r>
              <w:rPr>
                <w:rFonts w:hint="eastAsia"/>
                <w:color w:val="000000" w:themeColor="text1"/>
                <w14:textFill>
                  <w14:solidFill>
                    <w14:schemeClr w14:val="tx1"/>
                  </w14:solidFill>
                </w14:textFill>
              </w:rPr>
              <w:t>分</w:t>
            </w:r>
          </w:p>
          <w:p w14:paraId="0F12957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）操作平台面脚手板未满铺或未牢固固定，每处扣</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分</w:t>
            </w:r>
          </w:p>
          <w:p w14:paraId="26D8491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）跨（临）铁路、道路、航道的缆索起重机下部未设置可靠的防护棚，扣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C42ECD9">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E67DABC">
            <w:pPr>
              <w:pStyle w:val="42"/>
              <w:rPr>
                <w:color w:val="000000" w:themeColor="text1"/>
                <w14:textFill>
                  <w14:solidFill>
                    <w14:schemeClr w14:val="tx1"/>
                  </w14:solidFill>
                </w14:textFill>
              </w:rPr>
            </w:pPr>
          </w:p>
        </w:tc>
        <w:tc>
          <w:tcPr>
            <w:tcW w:w="720" w:type="dxa"/>
            <w:vAlign w:val="center"/>
          </w:tcPr>
          <w:p w14:paraId="117963CA">
            <w:pPr>
              <w:pStyle w:val="42"/>
              <w:rPr>
                <w:color w:val="000000" w:themeColor="text1"/>
                <w14:textFill>
                  <w14:solidFill>
                    <w14:schemeClr w14:val="tx1"/>
                  </w14:solidFill>
                </w14:textFill>
              </w:rPr>
            </w:pPr>
          </w:p>
        </w:tc>
      </w:tr>
      <w:tr w14:paraId="70985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42986E53">
            <w:pPr>
              <w:pStyle w:val="42"/>
              <w:rPr>
                <w:color w:val="000000" w:themeColor="text1"/>
                <w14:textFill>
                  <w14:solidFill>
                    <w14:schemeClr w14:val="tx1"/>
                  </w14:solidFill>
                </w14:textFill>
              </w:rPr>
            </w:pPr>
          </w:p>
        </w:tc>
        <w:tc>
          <w:tcPr>
            <w:tcW w:w="543" w:type="dxa"/>
            <w:vMerge w:val="continue"/>
          </w:tcPr>
          <w:p w14:paraId="3CACA668">
            <w:pPr>
              <w:pStyle w:val="42"/>
              <w:rPr>
                <w:color w:val="000000" w:themeColor="text1"/>
                <w14:textFill>
                  <w14:solidFill>
                    <w14:schemeClr w14:val="tx1"/>
                  </w14:solidFill>
                </w14:textFill>
              </w:rPr>
            </w:pPr>
          </w:p>
        </w:tc>
        <w:tc>
          <w:tcPr>
            <w:tcW w:w="6478" w:type="dxa"/>
            <w:gridSpan w:val="2"/>
            <w:vAlign w:val="center"/>
          </w:tcPr>
          <w:p w14:paraId="04157A29">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0B7B5A3A">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475B104C">
            <w:pPr>
              <w:pStyle w:val="42"/>
              <w:rPr>
                <w:color w:val="000000" w:themeColor="text1"/>
                <w14:textFill>
                  <w14:solidFill>
                    <w14:schemeClr w14:val="tx1"/>
                  </w14:solidFill>
                </w14:textFill>
              </w:rPr>
            </w:pPr>
          </w:p>
        </w:tc>
        <w:tc>
          <w:tcPr>
            <w:tcW w:w="720" w:type="dxa"/>
            <w:vAlign w:val="center"/>
          </w:tcPr>
          <w:p w14:paraId="3F09797E">
            <w:pPr>
              <w:pStyle w:val="42"/>
              <w:rPr>
                <w:color w:val="000000" w:themeColor="text1"/>
                <w14:textFill>
                  <w14:solidFill>
                    <w14:schemeClr w14:val="tx1"/>
                  </w14:solidFill>
                </w14:textFill>
              </w:rPr>
            </w:pPr>
          </w:p>
        </w:tc>
      </w:tr>
      <w:tr w14:paraId="194E6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1E164B38">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7E2C9174">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55547BB8">
            <w:pPr>
              <w:pStyle w:val="42"/>
              <w:rPr>
                <w:color w:val="000000" w:themeColor="text1"/>
                <w14:textFill>
                  <w14:solidFill>
                    <w14:schemeClr w14:val="tx1"/>
                  </w14:solidFill>
                </w14:textFill>
              </w:rPr>
            </w:pPr>
          </w:p>
        </w:tc>
        <w:tc>
          <w:tcPr>
            <w:tcW w:w="720" w:type="dxa"/>
            <w:vAlign w:val="center"/>
          </w:tcPr>
          <w:p w14:paraId="6FE66E67">
            <w:pPr>
              <w:pStyle w:val="42"/>
              <w:rPr>
                <w:color w:val="000000" w:themeColor="text1"/>
                <w14:textFill>
                  <w14:solidFill>
                    <w14:schemeClr w14:val="tx1"/>
                  </w14:solidFill>
                </w14:textFill>
              </w:rPr>
            </w:pPr>
          </w:p>
        </w:tc>
      </w:tr>
    </w:tbl>
    <w:p w14:paraId="17664B57">
      <w:pPr>
        <w:rPr>
          <w:color w:val="000000" w:themeColor="text1"/>
          <w14:textFill>
            <w14:solidFill>
              <w14:schemeClr w14:val="tx1"/>
            </w14:solidFill>
          </w14:textFill>
        </w:rPr>
      </w:pPr>
    </w:p>
    <w:p w14:paraId="5EC31DE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96" w:name="_Toc11437"/>
      <w:bookmarkStart w:id="97" w:name="_Toc30892"/>
      <w:bookmarkStart w:id="98" w:name="_Toc11901"/>
      <w:r>
        <w:rPr>
          <w:rFonts w:hint="eastAsia"/>
          <w:color w:val="000000" w:themeColor="text1"/>
          <w14:textFill>
            <w14:solidFill>
              <w14:schemeClr w14:val="tx1"/>
            </w14:solidFill>
          </w14:textFill>
        </w:rPr>
        <w:t>表</w:t>
      </w:r>
      <w:r>
        <w:rPr>
          <w:color w:val="000000" w:themeColor="text1"/>
          <w14:textFill>
            <w14:solidFill>
              <w14:schemeClr w14:val="tx1"/>
            </w14:solidFill>
          </w14:textFill>
        </w:rPr>
        <w:t>32</w:t>
      </w:r>
      <w:r>
        <w:rPr>
          <w:rFonts w:hint="eastAsia"/>
          <w:color w:val="000000" w:themeColor="text1"/>
          <w14:textFill>
            <w14:solidFill>
              <w14:schemeClr w14:val="tx1"/>
            </w14:solidFill>
          </w14:textFill>
        </w:rPr>
        <w:t xml:space="preserve">  起重吊装检查</w:t>
      </w:r>
      <w:r>
        <w:rPr>
          <w:color w:val="000000" w:themeColor="text1"/>
          <w14:textFill>
            <w14:solidFill>
              <w14:schemeClr w14:val="tx1"/>
            </w14:solidFill>
          </w14:textFill>
        </w:rPr>
        <w:t>评分表</w:t>
      </w:r>
      <w:bookmarkEnd w:id="96"/>
      <w:bookmarkEnd w:id="97"/>
      <w:bookmarkEnd w:id="98"/>
    </w:p>
    <w:tbl>
      <w:tblPr>
        <w:tblStyle w:val="17"/>
        <w:tblpPr w:leftFromText="180" w:rightFromText="180" w:vertAnchor="text" w:horzAnchor="page" w:tblpX="1150" w:tblpY="631"/>
        <w:tblOverlap w:val="never"/>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13" w:type="dxa"/>
          <w:left w:w="57" w:type="dxa"/>
          <w:bottom w:w="113" w:type="dxa"/>
          <w:right w:w="57" w:type="dxa"/>
        </w:tblCellMar>
      </w:tblPr>
      <w:tblGrid>
        <w:gridCol w:w="539"/>
        <w:gridCol w:w="543"/>
        <w:gridCol w:w="898"/>
        <w:gridCol w:w="5580"/>
        <w:gridCol w:w="720"/>
        <w:gridCol w:w="720"/>
        <w:gridCol w:w="720"/>
      </w:tblGrid>
      <w:tr w14:paraId="062C8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342" w:hRule="atLeast"/>
        </w:trPr>
        <w:tc>
          <w:tcPr>
            <w:tcW w:w="539" w:type="dxa"/>
            <w:vAlign w:val="center"/>
          </w:tcPr>
          <w:p w14:paraId="285D11B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441" w:type="dxa"/>
            <w:gridSpan w:val="2"/>
            <w:vAlign w:val="center"/>
          </w:tcPr>
          <w:p w14:paraId="2E9D540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检查项目</w:t>
            </w:r>
          </w:p>
        </w:tc>
        <w:tc>
          <w:tcPr>
            <w:tcW w:w="5580" w:type="dxa"/>
            <w:vAlign w:val="center"/>
          </w:tcPr>
          <w:p w14:paraId="5466F4B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扣</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分</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准</w:t>
            </w:r>
          </w:p>
        </w:tc>
        <w:tc>
          <w:tcPr>
            <w:tcW w:w="720" w:type="dxa"/>
            <w:vAlign w:val="center"/>
          </w:tcPr>
          <w:p w14:paraId="0E5400F8">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应得</w:t>
            </w:r>
          </w:p>
          <w:p w14:paraId="796F212A">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分数</w:t>
            </w:r>
          </w:p>
        </w:tc>
        <w:tc>
          <w:tcPr>
            <w:tcW w:w="720" w:type="dxa"/>
            <w:vAlign w:val="center"/>
          </w:tcPr>
          <w:p w14:paraId="22068A02">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自评分</w:t>
            </w:r>
          </w:p>
        </w:tc>
        <w:tc>
          <w:tcPr>
            <w:tcW w:w="720" w:type="dxa"/>
            <w:vAlign w:val="center"/>
          </w:tcPr>
          <w:p w14:paraId="5C0D07AC">
            <w:pPr>
              <w:pStyle w:val="42"/>
              <w:rPr>
                <w:rFonts w:hint="eastAsia"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专家评分</w:t>
            </w:r>
          </w:p>
        </w:tc>
      </w:tr>
      <w:tr w14:paraId="7159B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581" w:hRule="atLeast"/>
        </w:trPr>
        <w:tc>
          <w:tcPr>
            <w:tcW w:w="539" w:type="dxa"/>
            <w:vAlign w:val="center"/>
          </w:tcPr>
          <w:p w14:paraId="2337CB3E">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137F664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保</w:t>
            </w:r>
          </w:p>
          <w:p w14:paraId="59FEFBB9">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证</w:t>
            </w:r>
          </w:p>
          <w:p w14:paraId="4832C03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60874115">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6985FB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方案与交底</w:t>
            </w:r>
          </w:p>
        </w:tc>
        <w:tc>
          <w:tcPr>
            <w:tcW w:w="5580" w:type="dxa"/>
            <w:vAlign w:val="center"/>
          </w:tcPr>
          <w:p w14:paraId="6D58DD1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）未按规定编制专项施工方案，扣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分；方案编制内容不全或无针对性，扣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3900331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）专项施工方案未按规定进行审核、审批，扣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2EBB6C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）超过一定规模的起重吊装及安装拆卸工程专项施工方案未按规定组织专家论证，扣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B95281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）专项施工方案实施前，未进行安全技术交底，扣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分；交底无针对性或无文字记录，扣</w:t>
            </w:r>
            <w:r>
              <w:rPr>
                <w:color w:val="000000" w:themeColor="text1"/>
                <w14:textFill>
                  <w14:solidFill>
                    <w14:schemeClr w14:val="tx1"/>
                  </w14:solidFill>
                </w14:textFill>
              </w:rPr>
              <w:t>2-5</w:t>
            </w:r>
            <w:r>
              <w:rPr>
                <w:rFonts w:hint="eastAsia"/>
                <w:color w:val="000000" w:themeColor="text1"/>
                <w14:textFill>
                  <w14:solidFill>
                    <w14:schemeClr w14:val="tx1"/>
                  </w14:solidFill>
                </w14:textFill>
              </w:rPr>
              <w:t>分</w:t>
            </w:r>
          </w:p>
        </w:tc>
        <w:tc>
          <w:tcPr>
            <w:tcW w:w="720" w:type="dxa"/>
            <w:vAlign w:val="center"/>
          </w:tcPr>
          <w:p w14:paraId="5ADBB29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A751FED">
            <w:pPr>
              <w:pStyle w:val="42"/>
              <w:rPr>
                <w:color w:val="000000" w:themeColor="text1"/>
                <w14:textFill>
                  <w14:solidFill>
                    <w14:schemeClr w14:val="tx1"/>
                  </w14:solidFill>
                </w14:textFill>
              </w:rPr>
            </w:pPr>
          </w:p>
        </w:tc>
        <w:tc>
          <w:tcPr>
            <w:tcW w:w="720" w:type="dxa"/>
            <w:vAlign w:val="center"/>
          </w:tcPr>
          <w:p w14:paraId="18A17136">
            <w:pPr>
              <w:pStyle w:val="42"/>
              <w:rPr>
                <w:color w:val="000000" w:themeColor="text1"/>
                <w14:textFill>
                  <w14:solidFill>
                    <w14:schemeClr w14:val="tx1"/>
                  </w14:solidFill>
                </w14:textFill>
              </w:rPr>
            </w:pPr>
          </w:p>
        </w:tc>
      </w:tr>
      <w:tr w14:paraId="5AAE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667" w:hRule="atLeast"/>
        </w:trPr>
        <w:tc>
          <w:tcPr>
            <w:tcW w:w="539" w:type="dxa"/>
            <w:vAlign w:val="center"/>
          </w:tcPr>
          <w:p w14:paraId="1EA7CE25">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7D48C3CF">
            <w:pPr>
              <w:pStyle w:val="42"/>
              <w:rPr>
                <w:color w:val="000000" w:themeColor="text1"/>
                <w14:textFill>
                  <w14:solidFill>
                    <w14:schemeClr w14:val="tx1"/>
                  </w14:solidFill>
                </w14:textFill>
              </w:rPr>
            </w:pPr>
          </w:p>
        </w:tc>
        <w:tc>
          <w:tcPr>
            <w:tcW w:w="898" w:type="dxa"/>
            <w:vAlign w:val="center"/>
          </w:tcPr>
          <w:p w14:paraId="2F2F752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起重机械</w:t>
            </w:r>
          </w:p>
        </w:tc>
        <w:tc>
          <w:tcPr>
            <w:tcW w:w="5580" w:type="dxa"/>
            <w:vAlign w:val="center"/>
          </w:tcPr>
          <w:p w14:paraId="7B298B8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）起重机无制造许可证、产品合格证、备案证明和安装使用说明书，扣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FAAE12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）起重拔杆组装不符合设计要求，扣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75E77D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）起重拔杆组装后未履行验收程序或验收表无责任人签字，扣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8E54C4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）未安装荷载限制装置或不灵敏，扣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1323796">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）未安装行程限位装置或不灵敏，扣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60CD1F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40BD5F59">
            <w:pPr>
              <w:pStyle w:val="42"/>
              <w:rPr>
                <w:color w:val="000000" w:themeColor="text1"/>
                <w14:textFill>
                  <w14:solidFill>
                    <w14:schemeClr w14:val="tx1"/>
                  </w14:solidFill>
                </w14:textFill>
              </w:rPr>
            </w:pPr>
          </w:p>
        </w:tc>
        <w:tc>
          <w:tcPr>
            <w:tcW w:w="720" w:type="dxa"/>
            <w:vAlign w:val="center"/>
          </w:tcPr>
          <w:p w14:paraId="53ED5ADB">
            <w:pPr>
              <w:pStyle w:val="42"/>
              <w:rPr>
                <w:color w:val="000000" w:themeColor="text1"/>
                <w14:textFill>
                  <w14:solidFill>
                    <w14:schemeClr w14:val="tx1"/>
                  </w14:solidFill>
                </w14:textFill>
              </w:rPr>
            </w:pPr>
          </w:p>
        </w:tc>
      </w:tr>
      <w:tr w14:paraId="6352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954F7BA">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5963D051">
            <w:pPr>
              <w:pStyle w:val="42"/>
              <w:rPr>
                <w:color w:val="000000" w:themeColor="text1"/>
                <w14:textFill>
                  <w14:solidFill>
                    <w14:schemeClr w14:val="tx1"/>
                  </w14:solidFill>
                </w14:textFill>
              </w:rPr>
            </w:pPr>
          </w:p>
        </w:tc>
        <w:tc>
          <w:tcPr>
            <w:tcW w:w="898" w:type="dxa"/>
            <w:vAlign w:val="center"/>
          </w:tcPr>
          <w:p w14:paraId="765D044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钢丝绳与索具</w:t>
            </w:r>
          </w:p>
        </w:tc>
        <w:tc>
          <w:tcPr>
            <w:tcW w:w="5580" w:type="dxa"/>
            <w:vAlign w:val="center"/>
          </w:tcPr>
          <w:p w14:paraId="4AD93A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）钢丝绳磨损、断丝、变形、锈蚀达到报废标准，扣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964435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）钢丝绳的规格、型号不符合产品说明书要求或穿绕不正确，扣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BC53F0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）吊钩、卷筒、滑轮磨损达到报废标准扣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0C4C83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）吊钩、卷筒、滑轮未设置钢丝绳防脱装置，扣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4CD2DA1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）起重拔杆的缆风绳、地锚设置不符合设计要求，扣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741899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）钢丝绳、索具端部固接方式不符合标准要求，扣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8C2E3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）索具安全系数不符合标准要求，扣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94A997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）吊索规格不匹配或机械性能不符合设计要求，扣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7CA9E472">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55C0624F">
            <w:pPr>
              <w:pStyle w:val="42"/>
              <w:rPr>
                <w:color w:val="000000" w:themeColor="text1"/>
                <w14:textFill>
                  <w14:solidFill>
                    <w14:schemeClr w14:val="tx1"/>
                  </w14:solidFill>
                </w14:textFill>
              </w:rPr>
            </w:pPr>
          </w:p>
        </w:tc>
        <w:tc>
          <w:tcPr>
            <w:tcW w:w="720" w:type="dxa"/>
            <w:vAlign w:val="center"/>
          </w:tcPr>
          <w:p w14:paraId="3C219095">
            <w:pPr>
              <w:pStyle w:val="42"/>
              <w:rPr>
                <w:color w:val="000000" w:themeColor="text1"/>
                <w14:textFill>
                  <w14:solidFill>
                    <w14:schemeClr w14:val="tx1"/>
                  </w14:solidFill>
                </w14:textFill>
              </w:rPr>
            </w:pPr>
          </w:p>
        </w:tc>
      </w:tr>
      <w:tr w14:paraId="586A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6648FB2">
            <w:pPr>
              <w:pStyle w:val="42"/>
              <w:rPr>
                <w:color w:val="000000" w:themeColor="text1"/>
                <w14:textFill>
                  <w14:solidFill>
                    <w14:schemeClr w14:val="tx1"/>
                  </w14:solidFill>
                </w14:textFill>
              </w:rPr>
            </w:pPr>
            <w:r>
              <w:rPr>
                <w:color w:val="000000" w:themeColor="text1"/>
                <w14:textFill>
                  <w14:solidFill>
                    <w14:schemeClr w14:val="tx1"/>
                  </w14:solidFill>
                </w14:textFill>
              </w:rPr>
              <w:t>4</w:t>
            </w:r>
          </w:p>
        </w:tc>
        <w:tc>
          <w:tcPr>
            <w:tcW w:w="543" w:type="dxa"/>
            <w:vMerge w:val="continue"/>
          </w:tcPr>
          <w:p w14:paraId="4649D4FF">
            <w:pPr>
              <w:pStyle w:val="42"/>
              <w:rPr>
                <w:color w:val="000000" w:themeColor="text1"/>
                <w14:textFill>
                  <w14:solidFill>
                    <w14:schemeClr w14:val="tx1"/>
                  </w14:solidFill>
                </w14:textFill>
              </w:rPr>
            </w:pPr>
          </w:p>
        </w:tc>
        <w:tc>
          <w:tcPr>
            <w:tcW w:w="898" w:type="dxa"/>
            <w:vAlign w:val="center"/>
          </w:tcPr>
          <w:p w14:paraId="21ED07AD">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作业环境</w:t>
            </w:r>
          </w:p>
        </w:tc>
        <w:tc>
          <w:tcPr>
            <w:tcW w:w="5580" w:type="dxa"/>
            <w:vAlign w:val="center"/>
          </w:tcPr>
          <w:p w14:paraId="3BE9D6A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）起重机行走、作业处地面承载能力不符合产品说明书要求时未采取有效加固措施，扣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0E173E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）当起重机支撑在既有结构上时，未对既有结构的承载力进行确认或验算，扣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C4DC4E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）地面铺垫措施达不到要求，或支腿伸展不到位，扣</w:t>
            </w:r>
            <w:r>
              <w:rPr>
                <w:color w:val="000000" w:themeColor="text1"/>
                <w14:textFill>
                  <w14:solidFill>
                    <w14:schemeClr w14:val="tx1"/>
                  </w14:solidFill>
                </w14:textFill>
              </w:rPr>
              <w:t>5-10</w:t>
            </w:r>
            <w:r>
              <w:rPr>
                <w:rFonts w:hint="eastAsia"/>
                <w:color w:val="000000" w:themeColor="text1"/>
                <w14:textFill>
                  <w14:solidFill>
                    <w14:schemeClr w14:val="tx1"/>
                  </w14:solidFill>
                </w14:textFill>
              </w:rPr>
              <w:t>分</w:t>
            </w:r>
          </w:p>
          <w:p w14:paraId="02A6D340">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）起重机与架空线路安全距离应符合标准要求，扣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21F403C9">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）作业现场照明不足，扣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592B6A08">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9C4E565">
            <w:pPr>
              <w:pStyle w:val="42"/>
              <w:rPr>
                <w:color w:val="000000" w:themeColor="text1"/>
                <w14:textFill>
                  <w14:solidFill>
                    <w14:schemeClr w14:val="tx1"/>
                  </w14:solidFill>
                </w14:textFill>
              </w:rPr>
            </w:pPr>
          </w:p>
        </w:tc>
        <w:tc>
          <w:tcPr>
            <w:tcW w:w="720" w:type="dxa"/>
            <w:vAlign w:val="center"/>
          </w:tcPr>
          <w:p w14:paraId="63C5D61C">
            <w:pPr>
              <w:pStyle w:val="42"/>
              <w:rPr>
                <w:color w:val="000000" w:themeColor="text1"/>
                <w14:textFill>
                  <w14:solidFill>
                    <w14:schemeClr w14:val="tx1"/>
                  </w14:solidFill>
                </w14:textFill>
              </w:rPr>
            </w:pPr>
          </w:p>
        </w:tc>
      </w:tr>
      <w:tr w14:paraId="00F8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166" w:hRule="atLeast"/>
        </w:trPr>
        <w:tc>
          <w:tcPr>
            <w:tcW w:w="539" w:type="dxa"/>
            <w:vAlign w:val="center"/>
          </w:tcPr>
          <w:p w14:paraId="4C1CBB4F">
            <w:pPr>
              <w:pStyle w:val="42"/>
              <w:rPr>
                <w:color w:val="000000" w:themeColor="text1"/>
                <w14:textFill>
                  <w14:solidFill>
                    <w14:schemeClr w14:val="tx1"/>
                  </w14:solidFill>
                </w14:textFill>
              </w:rPr>
            </w:pPr>
            <w:r>
              <w:rPr>
                <w:color w:val="000000" w:themeColor="text1"/>
                <w14:textFill>
                  <w14:solidFill>
                    <w14:schemeClr w14:val="tx1"/>
                  </w14:solidFill>
                </w14:textFill>
              </w:rPr>
              <w:t>5</w:t>
            </w:r>
          </w:p>
        </w:tc>
        <w:tc>
          <w:tcPr>
            <w:tcW w:w="543" w:type="dxa"/>
            <w:vMerge w:val="continue"/>
          </w:tcPr>
          <w:p w14:paraId="3EB6BCF4">
            <w:pPr>
              <w:pStyle w:val="42"/>
              <w:rPr>
                <w:color w:val="000000" w:themeColor="text1"/>
                <w14:textFill>
                  <w14:solidFill>
                    <w14:schemeClr w14:val="tx1"/>
                  </w14:solidFill>
                </w14:textFill>
              </w:rPr>
            </w:pPr>
          </w:p>
        </w:tc>
        <w:tc>
          <w:tcPr>
            <w:tcW w:w="898" w:type="dxa"/>
            <w:vAlign w:val="center"/>
          </w:tcPr>
          <w:p w14:paraId="66842432">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资质与人员</w:t>
            </w:r>
          </w:p>
        </w:tc>
        <w:tc>
          <w:tcPr>
            <w:tcW w:w="5580" w:type="dxa"/>
            <w:vAlign w:val="center"/>
          </w:tcPr>
          <w:p w14:paraId="7268619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）起重机械安装、拆卸单位未取得专业承包资质和安全生产许可证，扣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968077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）安装拆卸工、起重司机、信号工、司索工未取得特种作业资格证书，扣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7A791D2">
            <w:pPr>
              <w:pStyle w:val="42"/>
              <w:keepNext/>
              <w:keepLines/>
              <w:spacing w:before="260" w:after="260"/>
              <w:jc w:val="left"/>
              <w:outlineLvl w:val="2"/>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）起重机司机操作证与操作机型不符，扣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CA4DFFB">
            <w:pPr>
              <w:pStyle w:val="42"/>
              <w:keepNext/>
              <w:keepLines/>
              <w:spacing w:before="260" w:after="260"/>
              <w:jc w:val="left"/>
              <w:outlineLvl w:val="2"/>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）未设专职信号指挥和司索人员，扣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A350715">
            <w:pPr>
              <w:pStyle w:val="42"/>
              <w:keepNext/>
              <w:keepLines/>
              <w:spacing w:before="260" w:after="260"/>
              <w:jc w:val="left"/>
              <w:outlineLvl w:val="2"/>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）大型吊装作业时无专人监护，扣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32ED6BE0">
            <w:pPr>
              <w:pStyle w:val="42"/>
              <w:keepNext/>
              <w:keepLines/>
              <w:spacing w:before="260" w:after="260"/>
              <w:outlineLvl w:val="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6BD181A9">
            <w:pPr>
              <w:pStyle w:val="42"/>
              <w:rPr>
                <w:color w:val="000000" w:themeColor="text1"/>
                <w14:textFill>
                  <w14:solidFill>
                    <w14:schemeClr w14:val="tx1"/>
                  </w14:solidFill>
                </w14:textFill>
              </w:rPr>
            </w:pPr>
          </w:p>
        </w:tc>
        <w:tc>
          <w:tcPr>
            <w:tcW w:w="720" w:type="dxa"/>
            <w:vAlign w:val="center"/>
          </w:tcPr>
          <w:p w14:paraId="6632128B">
            <w:pPr>
              <w:pStyle w:val="42"/>
              <w:rPr>
                <w:color w:val="000000" w:themeColor="text1"/>
                <w14:textFill>
                  <w14:solidFill>
                    <w14:schemeClr w14:val="tx1"/>
                  </w14:solidFill>
                </w14:textFill>
              </w:rPr>
            </w:pPr>
          </w:p>
        </w:tc>
      </w:tr>
      <w:tr w14:paraId="11651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00008054">
            <w:pPr>
              <w:pStyle w:val="42"/>
              <w:rPr>
                <w:color w:val="000000" w:themeColor="text1"/>
                <w14:textFill>
                  <w14:solidFill>
                    <w14:schemeClr w14:val="tx1"/>
                  </w14:solidFill>
                </w14:textFill>
              </w:rPr>
            </w:pPr>
            <w:r>
              <w:rPr>
                <w:color w:val="000000" w:themeColor="text1"/>
                <w14:textFill>
                  <w14:solidFill>
                    <w14:schemeClr w14:val="tx1"/>
                  </w14:solidFill>
                </w14:textFill>
              </w:rPr>
              <w:t>6</w:t>
            </w:r>
          </w:p>
        </w:tc>
        <w:tc>
          <w:tcPr>
            <w:tcW w:w="543" w:type="dxa"/>
            <w:vMerge w:val="continue"/>
            <w:vAlign w:val="center"/>
          </w:tcPr>
          <w:p w14:paraId="2808B259">
            <w:pPr>
              <w:pStyle w:val="42"/>
              <w:rPr>
                <w:color w:val="000000" w:themeColor="text1"/>
                <w14:textFill>
                  <w14:solidFill>
                    <w14:schemeClr w14:val="tx1"/>
                  </w14:solidFill>
                </w14:textFill>
              </w:rPr>
            </w:pPr>
          </w:p>
        </w:tc>
        <w:tc>
          <w:tcPr>
            <w:tcW w:w="898" w:type="dxa"/>
            <w:vAlign w:val="center"/>
          </w:tcPr>
          <w:p w14:paraId="6F4CECE6">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起重吊装</w:t>
            </w:r>
          </w:p>
        </w:tc>
        <w:tc>
          <w:tcPr>
            <w:tcW w:w="5580" w:type="dxa"/>
            <w:vAlign w:val="center"/>
          </w:tcPr>
          <w:p w14:paraId="2670BBC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）吊索具系挂点位置或系挂方式不符合专项施工方案的要求，扣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305E53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）起重机超载作业，扣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E994FF2">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）双机起吊作业时，单机荷载超过额定起重量的</w:t>
            </w:r>
            <w:r>
              <w:rPr>
                <w:color w:val="000000" w:themeColor="text1"/>
                <w14:textFill>
                  <w14:solidFill>
                    <w14:schemeClr w14:val="tx1"/>
                  </w14:solidFill>
                </w14:textFill>
              </w:rPr>
              <w:t>80%</w:t>
            </w:r>
            <w:r>
              <w:rPr>
                <w:rFonts w:hint="eastAsia"/>
                <w:color w:val="000000" w:themeColor="text1"/>
                <w14:textFill>
                  <w14:solidFill>
                    <w14:schemeClr w14:val="tx1"/>
                  </w14:solidFill>
                </w14:textFill>
              </w:rPr>
              <w:t>，扣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561E0B3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）起重机作业时起重臂下有人停留或吊运重物从人的正上方通过，扣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527930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）起重机采用吊具载运人员或被吊物体上有人、浮置物、悬挂物件，扣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704E684A">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）吊运易洒落物件或吊运气瓶时未使用专用吊笼，扣</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分</w:t>
            </w:r>
          </w:p>
          <w:p w14:paraId="1D07D40E">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）吊装重量不明、埋于地下或黏结在地面的物件，扣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0F60C05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8</w:t>
            </w:r>
            <w:r>
              <w:rPr>
                <w:rFonts w:hint="eastAsia"/>
                <w:color w:val="000000" w:themeColor="text1"/>
                <w14:textFill>
                  <w14:solidFill>
                    <w14:schemeClr w14:val="tx1"/>
                  </w14:solidFill>
                </w14:textFill>
              </w:rPr>
              <w:t>）进行斜拉、斜吊，扣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4582C967">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0EB3F635">
            <w:pPr>
              <w:pStyle w:val="42"/>
              <w:rPr>
                <w:color w:val="000000" w:themeColor="text1"/>
                <w14:textFill>
                  <w14:solidFill>
                    <w14:schemeClr w14:val="tx1"/>
                  </w14:solidFill>
                </w14:textFill>
              </w:rPr>
            </w:pPr>
          </w:p>
        </w:tc>
        <w:tc>
          <w:tcPr>
            <w:tcW w:w="720" w:type="dxa"/>
            <w:vAlign w:val="center"/>
          </w:tcPr>
          <w:p w14:paraId="27C93B36">
            <w:pPr>
              <w:pStyle w:val="42"/>
              <w:rPr>
                <w:color w:val="000000" w:themeColor="text1"/>
                <w14:textFill>
                  <w14:solidFill>
                    <w14:schemeClr w14:val="tx1"/>
                  </w14:solidFill>
                </w14:textFill>
              </w:rPr>
            </w:pPr>
          </w:p>
        </w:tc>
      </w:tr>
      <w:tr w14:paraId="3ACEA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17ED314A">
            <w:pPr>
              <w:pStyle w:val="42"/>
              <w:rPr>
                <w:color w:val="000000" w:themeColor="text1"/>
                <w14:textFill>
                  <w14:solidFill>
                    <w14:schemeClr w14:val="tx1"/>
                  </w14:solidFill>
                </w14:textFill>
              </w:rPr>
            </w:pPr>
            <w:r>
              <w:rPr>
                <w:color w:val="000000" w:themeColor="text1"/>
                <w14:textFill>
                  <w14:solidFill>
                    <w14:schemeClr w14:val="tx1"/>
                  </w14:solidFill>
                </w14:textFill>
              </w:rPr>
              <w:t>7</w:t>
            </w:r>
          </w:p>
        </w:tc>
        <w:tc>
          <w:tcPr>
            <w:tcW w:w="543" w:type="dxa"/>
            <w:vMerge w:val="continue"/>
            <w:vAlign w:val="center"/>
          </w:tcPr>
          <w:p w14:paraId="4A6600EA">
            <w:pPr>
              <w:pStyle w:val="42"/>
              <w:rPr>
                <w:color w:val="000000" w:themeColor="text1"/>
                <w14:textFill>
                  <w14:solidFill>
                    <w14:schemeClr w14:val="tx1"/>
                  </w14:solidFill>
                </w14:textFill>
              </w:rPr>
            </w:pPr>
          </w:p>
        </w:tc>
        <w:tc>
          <w:tcPr>
            <w:tcW w:w="898" w:type="dxa"/>
            <w:vAlign w:val="center"/>
          </w:tcPr>
          <w:p w14:paraId="05817E6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操作控制</w:t>
            </w:r>
          </w:p>
        </w:tc>
        <w:tc>
          <w:tcPr>
            <w:tcW w:w="5580" w:type="dxa"/>
            <w:vAlign w:val="center"/>
          </w:tcPr>
          <w:p w14:paraId="1721821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）吊运重物起升或下降速度不平稳、不均匀，或进行突然制动，扣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C2730C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）起重机主、副钩同时作业，扣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DCEFA61">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）作业人员直接推、拉被吊运物，扣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1B80BD4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）双机同步提升时，未采取同步措施，扣</w:t>
            </w:r>
            <w:r>
              <w:rPr>
                <w:color w:val="000000" w:themeColor="text1"/>
                <w14:textFill>
                  <w14:solidFill>
                    <w14:schemeClr w14:val="tx1"/>
                  </w14:solidFill>
                </w14:textFill>
              </w:rPr>
              <w:t>5-8</w:t>
            </w:r>
            <w:r>
              <w:rPr>
                <w:rFonts w:hint="eastAsia"/>
                <w:color w:val="000000" w:themeColor="text1"/>
                <w14:textFill>
                  <w14:solidFill>
                    <w14:schemeClr w14:val="tx1"/>
                  </w14:solidFill>
                </w14:textFill>
              </w:rPr>
              <w:t>分</w:t>
            </w:r>
          </w:p>
          <w:p w14:paraId="6BEDF04F">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）起重机在松软不平的地面起吊时同时进行两个动作，扣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E7E3C4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14:textFill>
                  <w14:solidFill>
                    <w14:schemeClr w14:val="tx1"/>
                  </w14:solidFill>
                </w14:textFill>
              </w:rPr>
              <w:t>）在满负荷或接近满负荷时降落臂杆或同时进行两个动作，扣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23F785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7</w:t>
            </w:r>
            <w:r>
              <w:rPr>
                <w:rFonts w:hint="eastAsia"/>
                <w:color w:val="000000" w:themeColor="text1"/>
                <w14:textFill>
                  <w14:solidFill>
                    <w14:schemeClr w14:val="tx1"/>
                  </w14:solidFill>
                </w14:textFill>
              </w:rPr>
              <w:t>）起重机回转未停稳时进行反向动作，扣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tc>
        <w:tc>
          <w:tcPr>
            <w:tcW w:w="720" w:type="dxa"/>
            <w:vAlign w:val="center"/>
          </w:tcPr>
          <w:p w14:paraId="29F360A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FD109F1">
            <w:pPr>
              <w:pStyle w:val="42"/>
              <w:rPr>
                <w:color w:val="000000" w:themeColor="text1"/>
                <w14:textFill>
                  <w14:solidFill>
                    <w14:schemeClr w14:val="tx1"/>
                  </w14:solidFill>
                </w14:textFill>
              </w:rPr>
            </w:pPr>
          </w:p>
        </w:tc>
        <w:tc>
          <w:tcPr>
            <w:tcW w:w="720" w:type="dxa"/>
            <w:vAlign w:val="center"/>
          </w:tcPr>
          <w:p w14:paraId="6510BBF6">
            <w:pPr>
              <w:pStyle w:val="42"/>
              <w:rPr>
                <w:color w:val="000000" w:themeColor="text1"/>
                <w14:textFill>
                  <w14:solidFill>
                    <w14:schemeClr w14:val="tx1"/>
                  </w14:solidFill>
                </w14:textFill>
              </w:rPr>
            </w:pPr>
          </w:p>
        </w:tc>
      </w:tr>
      <w:tr w14:paraId="6924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31078246">
            <w:pPr>
              <w:pStyle w:val="42"/>
              <w:rPr>
                <w:color w:val="000000" w:themeColor="text1"/>
                <w14:textFill>
                  <w14:solidFill>
                    <w14:schemeClr w14:val="tx1"/>
                  </w14:solidFill>
                </w14:textFill>
              </w:rPr>
            </w:pPr>
          </w:p>
        </w:tc>
        <w:tc>
          <w:tcPr>
            <w:tcW w:w="543" w:type="dxa"/>
            <w:vMerge w:val="continue"/>
            <w:vAlign w:val="center"/>
          </w:tcPr>
          <w:p w14:paraId="5168A10B">
            <w:pPr>
              <w:pStyle w:val="42"/>
              <w:rPr>
                <w:color w:val="000000" w:themeColor="text1"/>
                <w14:textFill>
                  <w14:solidFill>
                    <w14:schemeClr w14:val="tx1"/>
                  </w14:solidFill>
                </w14:textFill>
              </w:rPr>
            </w:pPr>
          </w:p>
        </w:tc>
        <w:tc>
          <w:tcPr>
            <w:tcW w:w="6478" w:type="dxa"/>
            <w:gridSpan w:val="2"/>
            <w:vAlign w:val="center"/>
          </w:tcPr>
          <w:p w14:paraId="6C4D1C36">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4B6C5E75">
            <w:pPr>
              <w:pStyle w:val="42"/>
              <w:rPr>
                <w:color w:val="000000" w:themeColor="text1"/>
                <w14:textFill>
                  <w14:solidFill>
                    <w14:schemeClr w14:val="tx1"/>
                  </w14:solidFill>
                </w14:textFill>
              </w:rPr>
            </w:pPr>
            <w:r>
              <w:rPr>
                <w:color w:val="000000" w:themeColor="text1"/>
                <w14:textFill>
                  <w14:solidFill>
                    <w14:schemeClr w14:val="tx1"/>
                  </w14:solidFill>
                </w14:textFill>
              </w:rPr>
              <w:t>70</w:t>
            </w:r>
          </w:p>
        </w:tc>
        <w:tc>
          <w:tcPr>
            <w:tcW w:w="720" w:type="dxa"/>
            <w:vAlign w:val="center"/>
          </w:tcPr>
          <w:p w14:paraId="68F982B7">
            <w:pPr>
              <w:pStyle w:val="42"/>
              <w:rPr>
                <w:color w:val="000000" w:themeColor="text1"/>
                <w14:textFill>
                  <w14:solidFill>
                    <w14:schemeClr w14:val="tx1"/>
                  </w14:solidFill>
                </w14:textFill>
              </w:rPr>
            </w:pPr>
          </w:p>
        </w:tc>
        <w:tc>
          <w:tcPr>
            <w:tcW w:w="720" w:type="dxa"/>
            <w:vAlign w:val="center"/>
          </w:tcPr>
          <w:p w14:paraId="45606FBE">
            <w:pPr>
              <w:pStyle w:val="42"/>
              <w:rPr>
                <w:color w:val="000000" w:themeColor="text1"/>
                <w14:textFill>
                  <w14:solidFill>
                    <w14:schemeClr w14:val="tx1"/>
                  </w14:solidFill>
                </w14:textFill>
              </w:rPr>
            </w:pPr>
          </w:p>
        </w:tc>
      </w:tr>
      <w:tr w14:paraId="7A6D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76" w:hRule="atLeast"/>
        </w:trPr>
        <w:tc>
          <w:tcPr>
            <w:tcW w:w="539" w:type="dxa"/>
            <w:vAlign w:val="center"/>
          </w:tcPr>
          <w:p w14:paraId="7D93EB53">
            <w:pPr>
              <w:pStyle w:val="42"/>
              <w:rPr>
                <w:color w:val="000000" w:themeColor="text1"/>
                <w14:textFill>
                  <w14:solidFill>
                    <w14:schemeClr w14:val="tx1"/>
                  </w14:solidFill>
                </w14:textFill>
              </w:rPr>
            </w:pPr>
            <w:r>
              <w:rPr>
                <w:color w:val="000000" w:themeColor="text1"/>
                <w14:textFill>
                  <w14:solidFill>
                    <w14:schemeClr w14:val="tx1"/>
                  </w14:solidFill>
                </w14:textFill>
              </w:rPr>
              <w:t>1</w:t>
            </w:r>
          </w:p>
        </w:tc>
        <w:tc>
          <w:tcPr>
            <w:tcW w:w="543" w:type="dxa"/>
            <w:vMerge w:val="restart"/>
            <w:vAlign w:val="center"/>
          </w:tcPr>
          <w:p w14:paraId="43D622CF">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一</w:t>
            </w:r>
          </w:p>
          <w:p w14:paraId="5C3D689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般</w:t>
            </w:r>
          </w:p>
          <w:p w14:paraId="7F2FFEC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项</w:t>
            </w:r>
          </w:p>
          <w:p w14:paraId="70DE31C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目</w:t>
            </w:r>
          </w:p>
        </w:tc>
        <w:tc>
          <w:tcPr>
            <w:tcW w:w="898" w:type="dxa"/>
            <w:vAlign w:val="center"/>
          </w:tcPr>
          <w:p w14:paraId="7CF324FB">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悬空作业</w:t>
            </w:r>
          </w:p>
        </w:tc>
        <w:tc>
          <w:tcPr>
            <w:tcW w:w="5580" w:type="dxa"/>
            <w:vAlign w:val="center"/>
          </w:tcPr>
          <w:p w14:paraId="51C059F3">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）未按规定设置高处作业操作平台，扣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分；平台承载力不足或固定不牢固，扣</w:t>
            </w:r>
            <w:r>
              <w:rPr>
                <w:color w:val="000000" w:themeColor="text1"/>
                <w14:textFill>
                  <w14:solidFill>
                    <w14:schemeClr w14:val="tx1"/>
                  </w14:solidFill>
                </w14:textFill>
              </w:rPr>
              <w:t>2-10</w:t>
            </w:r>
            <w:r>
              <w:rPr>
                <w:rFonts w:hint="eastAsia"/>
                <w:color w:val="000000" w:themeColor="text1"/>
                <w14:textFill>
                  <w14:solidFill>
                    <w14:schemeClr w14:val="tx1"/>
                  </w14:solidFill>
                </w14:textFill>
              </w:rPr>
              <w:t>分</w:t>
            </w:r>
          </w:p>
          <w:p w14:paraId="2B06C61C">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）操作平台外围未按临边作业要求设置防护栏杆，扣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173595A8">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）操作平台面未牢固满铺脚手板，扣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p w14:paraId="40995B14">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）未设置爬梯或爬梯的承载力、构造不符合标准要求，扣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p w14:paraId="6F5E987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）高处作业人员未按规定系挂安全带，或悬挂点不牢固，扣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tc>
        <w:tc>
          <w:tcPr>
            <w:tcW w:w="720" w:type="dxa"/>
            <w:vAlign w:val="center"/>
          </w:tcPr>
          <w:p w14:paraId="2D753E8D">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34EA51A2">
            <w:pPr>
              <w:pStyle w:val="42"/>
              <w:rPr>
                <w:color w:val="000000" w:themeColor="text1"/>
                <w14:textFill>
                  <w14:solidFill>
                    <w14:schemeClr w14:val="tx1"/>
                  </w14:solidFill>
                </w14:textFill>
              </w:rPr>
            </w:pPr>
          </w:p>
        </w:tc>
        <w:tc>
          <w:tcPr>
            <w:tcW w:w="720" w:type="dxa"/>
            <w:vAlign w:val="center"/>
          </w:tcPr>
          <w:p w14:paraId="4F8BD995">
            <w:pPr>
              <w:pStyle w:val="42"/>
              <w:rPr>
                <w:color w:val="000000" w:themeColor="text1"/>
                <w14:textFill>
                  <w14:solidFill>
                    <w14:schemeClr w14:val="tx1"/>
                  </w14:solidFill>
                </w14:textFill>
              </w:rPr>
            </w:pPr>
          </w:p>
        </w:tc>
      </w:tr>
      <w:tr w14:paraId="3BD9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6850F7A">
            <w:pPr>
              <w:pStyle w:val="42"/>
              <w:rPr>
                <w:color w:val="000000" w:themeColor="text1"/>
                <w14:textFill>
                  <w14:solidFill>
                    <w14:schemeClr w14:val="tx1"/>
                  </w14:solidFill>
                </w14:textFill>
              </w:rPr>
            </w:pPr>
            <w:r>
              <w:rPr>
                <w:color w:val="000000" w:themeColor="text1"/>
                <w14:textFill>
                  <w14:solidFill>
                    <w14:schemeClr w14:val="tx1"/>
                  </w14:solidFill>
                </w14:textFill>
              </w:rPr>
              <w:t>2</w:t>
            </w:r>
          </w:p>
        </w:tc>
        <w:tc>
          <w:tcPr>
            <w:tcW w:w="543" w:type="dxa"/>
            <w:vMerge w:val="continue"/>
          </w:tcPr>
          <w:p w14:paraId="50B2BEC8">
            <w:pPr>
              <w:pStyle w:val="42"/>
              <w:rPr>
                <w:color w:val="000000" w:themeColor="text1"/>
                <w14:textFill>
                  <w14:solidFill>
                    <w14:schemeClr w14:val="tx1"/>
                  </w14:solidFill>
                </w14:textFill>
              </w:rPr>
            </w:pPr>
          </w:p>
        </w:tc>
        <w:tc>
          <w:tcPr>
            <w:tcW w:w="898" w:type="dxa"/>
            <w:vAlign w:val="center"/>
          </w:tcPr>
          <w:p w14:paraId="6D87D8E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构件码放</w:t>
            </w:r>
          </w:p>
        </w:tc>
        <w:tc>
          <w:tcPr>
            <w:tcW w:w="5580" w:type="dxa"/>
          </w:tcPr>
          <w:p w14:paraId="77206DB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）构件码放荷载超过作业面承载能力，扣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632DDB1B">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）构件码放高度超过规定要求，扣</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w:t>
            </w:r>
          </w:p>
          <w:p w14:paraId="5C55E027">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）大型构件码放无稳定措施，扣</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分</w:t>
            </w:r>
          </w:p>
        </w:tc>
        <w:tc>
          <w:tcPr>
            <w:tcW w:w="720" w:type="dxa"/>
            <w:vAlign w:val="center"/>
          </w:tcPr>
          <w:p w14:paraId="09FD9804">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2492604A">
            <w:pPr>
              <w:pStyle w:val="42"/>
              <w:rPr>
                <w:color w:val="000000" w:themeColor="text1"/>
                <w14:textFill>
                  <w14:solidFill>
                    <w14:schemeClr w14:val="tx1"/>
                  </w14:solidFill>
                </w14:textFill>
              </w:rPr>
            </w:pPr>
          </w:p>
        </w:tc>
        <w:tc>
          <w:tcPr>
            <w:tcW w:w="720" w:type="dxa"/>
            <w:vAlign w:val="center"/>
          </w:tcPr>
          <w:p w14:paraId="5EF00947">
            <w:pPr>
              <w:pStyle w:val="42"/>
              <w:rPr>
                <w:color w:val="000000" w:themeColor="text1"/>
                <w14:textFill>
                  <w14:solidFill>
                    <w14:schemeClr w14:val="tx1"/>
                  </w14:solidFill>
                </w14:textFill>
              </w:rPr>
            </w:pPr>
          </w:p>
        </w:tc>
      </w:tr>
      <w:tr w14:paraId="6A2E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6EE59536">
            <w:pPr>
              <w:pStyle w:val="42"/>
              <w:rPr>
                <w:color w:val="000000" w:themeColor="text1"/>
                <w14:textFill>
                  <w14:solidFill>
                    <w14:schemeClr w14:val="tx1"/>
                  </w14:solidFill>
                </w14:textFill>
              </w:rPr>
            </w:pPr>
            <w:r>
              <w:rPr>
                <w:color w:val="000000" w:themeColor="text1"/>
                <w14:textFill>
                  <w14:solidFill>
                    <w14:schemeClr w14:val="tx1"/>
                  </w14:solidFill>
                </w14:textFill>
              </w:rPr>
              <w:t>3</w:t>
            </w:r>
          </w:p>
        </w:tc>
        <w:tc>
          <w:tcPr>
            <w:tcW w:w="543" w:type="dxa"/>
            <w:vMerge w:val="continue"/>
          </w:tcPr>
          <w:p w14:paraId="109DAEAE">
            <w:pPr>
              <w:pStyle w:val="42"/>
              <w:rPr>
                <w:color w:val="000000" w:themeColor="text1"/>
                <w14:textFill>
                  <w14:solidFill>
                    <w14:schemeClr w14:val="tx1"/>
                  </w14:solidFill>
                </w14:textFill>
              </w:rPr>
            </w:pPr>
          </w:p>
        </w:tc>
        <w:tc>
          <w:tcPr>
            <w:tcW w:w="898" w:type="dxa"/>
            <w:vAlign w:val="center"/>
          </w:tcPr>
          <w:p w14:paraId="1EF6F443">
            <w:pPr>
              <w:pStyle w:val="42"/>
              <w:rPr>
                <w:color w:val="000000" w:themeColor="text1"/>
                <w14:textFill>
                  <w14:solidFill>
                    <w14:schemeClr w14:val="tx1"/>
                  </w14:solidFill>
                </w14:textFill>
              </w:rPr>
            </w:pPr>
            <w:r>
              <w:rPr>
                <w:rFonts w:hint="eastAsia"/>
                <w:color w:val="000000" w:themeColor="text1"/>
                <w14:textFill>
                  <w14:solidFill>
                    <w14:schemeClr w14:val="tx1"/>
                  </w14:solidFill>
                </w14:textFill>
              </w:rPr>
              <w:t>警戒监护</w:t>
            </w:r>
          </w:p>
        </w:tc>
        <w:tc>
          <w:tcPr>
            <w:tcW w:w="5580" w:type="dxa"/>
          </w:tcPr>
          <w:p w14:paraId="7204CBD5">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）未按规定设置作业警戒区，扣</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分</w:t>
            </w:r>
          </w:p>
          <w:p w14:paraId="39BED72D">
            <w:pPr>
              <w:pStyle w:val="42"/>
              <w:jc w:val="left"/>
              <w:rPr>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）警戒区未设专人监护，扣</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720" w:type="dxa"/>
            <w:vAlign w:val="center"/>
          </w:tcPr>
          <w:p w14:paraId="4F424BDE">
            <w:pPr>
              <w:pStyle w:val="42"/>
              <w:rPr>
                <w:color w:val="000000" w:themeColor="text1"/>
                <w14:textFill>
                  <w14:solidFill>
                    <w14:schemeClr w14:val="tx1"/>
                  </w14:solidFill>
                </w14:textFill>
              </w:rPr>
            </w:pPr>
            <w:r>
              <w:rPr>
                <w:color w:val="000000" w:themeColor="text1"/>
                <w14:textFill>
                  <w14:solidFill>
                    <w14:schemeClr w14:val="tx1"/>
                  </w14:solidFill>
                </w14:textFill>
              </w:rPr>
              <w:t>10</w:t>
            </w:r>
          </w:p>
        </w:tc>
        <w:tc>
          <w:tcPr>
            <w:tcW w:w="720" w:type="dxa"/>
            <w:vAlign w:val="center"/>
          </w:tcPr>
          <w:p w14:paraId="7DE0F32D">
            <w:pPr>
              <w:pStyle w:val="42"/>
              <w:rPr>
                <w:color w:val="000000" w:themeColor="text1"/>
                <w14:textFill>
                  <w14:solidFill>
                    <w14:schemeClr w14:val="tx1"/>
                  </w14:solidFill>
                </w14:textFill>
              </w:rPr>
            </w:pPr>
          </w:p>
        </w:tc>
        <w:tc>
          <w:tcPr>
            <w:tcW w:w="720" w:type="dxa"/>
            <w:vAlign w:val="center"/>
          </w:tcPr>
          <w:p w14:paraId="0E7EDBD7">
            <w:pPr>
              <w:pStyle w:val="42"/>
              <w:rPr>
                <w:color w:val="000000" w:themeColor="text1"/>
                <w14:textFill>
                  <w14:solidFill>
                    <w14:schemeClr w14:val="tx1"/>
                  </w14:solidFill>
                </w14:textFill>
              </w:rPr>
            </w:pPr>
          </w:p>
        </w:tc>
      </w:tr>
      <w:tr w14:paraId="30C1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20" w:hRule="atLeast"/>
        </w:trPr>
        <w:tc>
          <w:tcPr>
            <w:tcW w:w="539" w:type="dxa"/>
            <w:vAlign w:val="center"/>
          </w:tcPr>
          <w:p w14:paraId="59AEBD01">
            <w:pPr>
              <w:pStyle w:val="42"/>
              <w:rPr>
                <w:color w:val="000000" w:themeColor="text1"/>
                <w14:textFill>
                  <w14:solidFill>
                    <w14:schemeClr w14:val="tx1"/>
                  </w14:solidFill>
                </w14:textFill>
              </w:rPr>
            </w:pPr>
          </w:p>
        </w:tc>
        <w:tc>
          <w:tcPr>
            <w:tcW w:w="543" w:type="dxa"/>
            <w:vMerge w:val="continue"/>
          </w:tcPr>
          <w:p w14:paraId="1E73FB2F">
            <w:pPr>
              <w:pStyle w:val="42"/>
              <w:rPr>
                <w:color w:val="000000" w:themeColor="text1"/>
                <w14:textFill>
                  <w14:solidFill>
                    <w14:schemeClr w14:val="tx1"/>
                  </w14:solidFill>
                </w14:textFill>
              </w:rPr>
            </w:pPr>
          </w:p>
        </w:tc>
        <w:tc>
          <w:tcPr>
            <w:tcW w:w="6478" w:type="dxa"/>
            <w:gridSpan w:val="2"/>
            <w:vAlign w:val="center"/>
          </w:tcPr>
          <w:p w14:paraId="320997CF">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 xml:space="preserve">小 </w:t>
            </w:r>
            <w:r>
              <w:rPr>
                <w:b/>
                <w:bCs w:val="0"/>
                <w:color w:val="000000" w:themeColor="text1"/>
                <w14:textFill>
                  <w14:solidFill>
                    <w14:schemeClr w14:val="tx1"/>
                  </w14:solidFill>
                </w14:textFill>
              </w:rPr>
              <w:t xml:space="preserve"> </w:t>
            </w:r>
            <w:r>
              <w:rPr>
                <w:rFonts w:hint="eastAsia"/>
                <w:b/>
                <w:bCs w:val="0"/>
                <w:color w:val="000000" w:themeColor="text1"/>
                <w14:textFill>
                  <w14:solidFill>
                    <w14:schemeClr w14:val="tx1"/>
                  </w14:solidFill>
                </w14:textFill>
              </w:rPr>
              <w:t>计</w:t>
            </w:r>
          </w:p>
        </w:tc>
        <w:tc>
          <w:tcPr>
            <w:tcW w:w="720" w:type="dxa"/>
            <w:vAlign w:val="center"/>
          </w:tcPr>
          <w:p w14:paraId="1167C936">
            <w:pPr>
              <w:pStyle w:val="42"/>
              <w:rPr>
                <w:color w:val="000000" w:themeColor="text1"/>
                <w14:textFill>
                  <w14:solidFill>
                    <w14:schemeClr w14:val="tx1"/>
                  </w14:solidFill>
                </w14:textFill>
              </w:rPr>
            </w:pPr>
            <w:r>
              <w:rPr>
                <w:color w:val="000000" w:themeColor="text1"/>
                <w14:textFill>
                  <w14:solidFill>
                    <w14:schemeClr w14:val="tx1"/>
                  </w14:solidFill>
                </w14:textFill>
              </w:rPr>
              <w:t>30</w:t>
            </w:r>
          </w:p>
        </w:tc>
        <w:tc>
          <w:tcPr>
            <w:tcW w:w="720" w:type="dxa"/>
            <w:vAlign w:val="center"/>
          </w:tcPr>
          <w:p w14:paraId="5FA4B1F9">
            <w:pPr>
              <w:pStyle w:val="42"/>
              <w:rPr>
                <w:color w:val="000000" w:themeColor="text1"/>
                <w14:textFill>
                  <w14:solidFill>
                    <w14:schemeClr w14:val="tx1"/>
                  </w14:solidFill>
                </w14:textFill>
              </w:rPr>
            </w:pPr>
          </w:p>
        </w:tc>
        <w:tc>
          <w:tcPr>
            <w:tcW w:w="720" w:type="dxa"/>
            <w:vAlign w:val="center"/>
          </w:tcPr>
          <w:p w14:paraId="2350E34F">
            <w:pPr>
              <w:pStyle w:val="42"/>
              <w:rPr>
                <w:color w:val="000000" w:themeColor="text1"/>
                <w14:textFill>
                  <w14:solidFill>
                    <w14:schemeClr w14:val="tx1"/>
                  </w14:solidFill>
                </w14:textFill>
              </w:rPr>
            </w:pPr>
          </w:p>
        </w:tc>
      </w:tr>
      <w:tr w14:paraId="2F465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57" w:type="dxa"/>
            <w:bottom w:w="113" w:type="dxa"/>
            <w:right w:w="57" w:type="dxa"/>
          </w:tblCellMar>
        </w:tblPrEx>
        <w:trPr>
          <w:cantSplit/>
          <w:trHeight w:val="433" w:hRule="atLeast"/>
        </w:trPr>
        <w:tc>
          <w:tcPr>
            <w:tcW w:w="7560" w:type="dxa"/>
            <w:gridSpan w:val="4"/>
            <w:vAlign w:val="center"/>
          </w:tcPr>
          <w:p w14:paraId="6412B4B2">
            <w:pPr>
              <w:pStyle w:val="42"/>
              <w:rPr>
                <w:b/>
                <w:bCs w:val="0"/>
                <w:color w:val="000000" w:themeColor="text1"/>
                <w14:textFill>
                  <w14:solidFill>
                    <w14:schemeClr w14:val="tx1"/>
                  </w14:solidFill>
                </w14:textFill>
              </w:rPr>
            </w:pPr>
            <w:r>
              <w:rPr>
                <w:rFonts w:hint="eastAsia"/>
                <w:b/>
                <w:bCs w:val="0"/>
                <w:color w:val="000000" w:themeColor="text1"/>
                <w14:textFill>
                  <w14:solidFill>
                    <w14:schemeClr w14:val="tx1"/>
                  </w14:solidFill>
                </w14:textFill>
              </w:rPr>
              <w:t>检查项目合计</w:t>
            </w:r>
          </w:p>
        </w:tc>
        <w:tc>
          <w:tcPr>
            <w:tcW w:w="720" w:type="dxa"/>
            <w:vAlign w:val="center"/>
          </w:tcPr>
          <w:p w14:paraId="2E916C78">
            <w:pPr>
              <w:pStyle w:val="42"/>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720" w:type="dxa"/>
            <w:vAlign w:val="center"/>
          </w:tcPr>
          <w:p w14:paraId="58C5F53F">
            <w:pPr>
              <w:pStyle w:val="42"/>
              <w:rPr>
                <w:color w:val="000000" w:themeColor="text1"/>
                <w14:textFill>
                  <w14:solidFill>
                    <w14:schemeClr w14:val="tx1"/>
                  </w14:solidFill>
                </w14:textFill>
              </w:rPr>
            </w:pPr>
          </w:p>
        </w:tc>
        <w:tc>
          <w:tcPr>
            <w:tcW w:w="720" w:type="dxa"/>
            <w:vAlign w:val="center"/>
          </w:tcPr>
          <w:p w14:paraId="47383E73">
            <w:pPr>
              <w:pStyle w:val="42"/>
              <w:rPr>
                <w:color w:val="000000" w:themeColor="text1"/>
                <w14:textFill>
                  <w14:solidFill>
                    <w14:schemeClr w14:val="tx1"/>
                  </w14:solidFill>
                </w14:textFill>
              </w:rPr>
            </w:pPr>
          </w:p>
        </w:tc>
      </w:tr>
    </w:tbl>
    <w:p w14:paraId="2352CF43">
      <w:pPr>
        <w:pStyle w:val="2"/>
        <w:pageBreakBefore w:val="0"/>
        <w:widowControl w:val="0"/>
        <w:kinsoku/>
        <w:wordWrap/>
        <w:overflowPunct/>
        <w:topLinePunct w:val="0"/>
        <w:autoSpaceDE/>
        <w:autoSpaceDN/>
        <w:bidi w:val="0"/>
        <w:adjustRightInd/>
        <w:snapToGrid/>
        <w:spacing w:before="0" w:after="0" w:line="240" w:lineRule="auto"/>
        <w:textAlignment w:val="auto"/>
        <w:rPr>
          <w:rFonts w:hint="eastAsia"/>
          <w:color w:val="000000" w:themeColor="text1"/>
          <w14:textFill>
            <w14:solidFill>
              <w14:schemeClr w14:val="tx1"/>
            </w14:solidFill>
          </w14:textFill>
        </w:rPr>
      </w:pPr>
      <w:bookmarkStart w:id="99" w:name="_Toc427334484"/>
      <w:bookmarkStart w:id="100" w:name="_Toc405227246"/>
      <w:bookmarkStart w:id="101" w:name="_Toc426474738"/>
      <w:bookmarkStart w:id="102" w:name="_Toc29679"/>
      <w:bookmarkStart w:id="103" w:name="_Toc14558"/>
    </w:p>
    <w:p w14:paraId="73DE1017">
      <w:pPr>
        <w:pStyle w:val="2"/>
        <w:pageBreakBefore w:val="0"/>
        <w:widowControl w:val="0"/>
        <w:kinsoku/>
        <w:wordWrap/>
        <w:overflowPunct/>
        <w:topLinePunct w:val="0"/>
        <w:autoSpaceDE/>
        <w:autoSpaceDN/>
        <w:bidi w:val="0"/>
        <w:adjustRightInd/>
        <w:snapToGrid/>
        <w:spacing w:before="0" w:after="0" w:line="240" w:lineRule="auto"/>
        <w:textAlignment w:val="auto"/>
        <w:rPr>
          <w:rFonts w:hint="eastAsia"/>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3447FBF9">
      <w:pPr>
        <w:pStyle w:val="2"/>
        <w:keepNext/>
        <w:keepLines/>
        <w:pageBreakBefore w:val="0"/>
        <w:widowControl w:val="0"/>
        <w:kinsoku/>
        <w:wordWrap/>
        <w:overflowPunct/>
        <w:topLinePunct w:val="0"/>
        <w:autoSpaceDE/>
        <w:autoSpaceDN/>
        <w:bidi w:val="0"/>
        <w:adjustRightInd/>
        <w:snapToGrid/>
        <w:spacing w:before="0" w:after="0" w:line="579" w:lineRule="auto"/>
        <w:jc w:val="center"/>
        <w:textAlignment w:val="auto"/>
        <w:rPr>
          <w:rFonts w:hint="eastAsia" w:ascii="方正小标宋简体" w:hAnsi="方正小标宋简体" w:eastAsia="方正小标宋简体" w:cs="方正小标宋简体"/>
          <w:b/>
          <w:bCs/>
          <w:color w:val="000000" w:themeColor="text1"/>
          <w:kern w:val="2"/>
          <w:sz w:val="30"/>
          <w:szCs w:val="30"/>
          <w:lang w:val="en-US" w:eastAsia="zh-CN" w:bidi="ar-SA"/>
          <w14:textFill>
            <w14:solidFill>
              <w14:schemeClr w14:val="tx1"/>
            </w14:solidFill>
          </w14:textFill>
        </w:rPr>
      </w:pPr>
      <w:r>
        <w:rPr>
          <w:rFonts w:hint="eastAsia" w:ascii="方正小标宋简体" w:hAnsi="方正小标宋简体" w:eastAsia="方正小标宋简体" w:cs="方正小标宋简体"/>
          <w:b/>
          <w:bCs/>
          <w:color w:val="000000" w:themeColor="text1"/>
          <w:kern w:val="2"/>
          <w:sz w:val="30"/>
          <w:szCs w:val="30"/>
          <w:lang w:val="en-US" w:eastAsia="zh-CN" w:bidi="ar-SA"/>
          <w14:textFill>
            <w14:solidFill>
              <w14:schemeClr w14:val="tx1"/>
            </w14:solidFill>
          </w14:textFill>
        </w:rPr>
        <w:t>佛山市顺德区市政工程安全生产文明施工示范项目评价汇总表</w:t>
      </w:r>
    </w:p>
    <w:p w14:paraId="2EC7FA1A">
      <w:pPr>
        <w:pStyle w:val="38"/>
        <w:jc w:val="left"/>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工程</w:t>
      </w:r>
      <w:r>
        <w:rPr>
          <w:rFonts w:hint="eastAsia" w:ascii="仿宋" w:hAnsi="仿宋" w:eastAsia="仿宋" w:cs="仿宋"/>
          <w:color w:val="000000" w:themeColor="text1"/>
          <w:sz w:val="21"/>
          <w:szCs w:val="21"/>
          <w14:textFill>
            <w14:solidFill>
              <w14:schemeClr w14:val="tx1"/>
            </w14:solidFill>
          </w14:textFill>
        </w:rPr>
        <w:t xml:space="preserve">名称：                              </w:t>
      </w:r>
      <w:r>
        <w:rPr>
          <w:rFonts w:hint="eastAsia" w:ascii="仿宋" w:hAnsi="仿宋" w:eastAsia="仿宋" w:cs="仿宋"/>
          <w:color w:val="000000" w:themeColor="text1"/>
          <w:sz w:val="21"/>
          <w:szCs w:val="21"/>
          <w:lang w:val="en-US" w:eastAsia="zh-CN"/>
          <w14:textFill>
            <w14:solidFill>
              <w14:schemeClr w14:val="tx1"/>
            </w14:solidFill>
          </w14:textFill>
        </w:rPr>
        <w:t xml:space="preserve">                                                     </w:t>
      </w:r>
    </w:p>
    <w:tbl>
      <w:tblPr>
        <w:tblStyle w:val="1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13"/>
        <w:gridCol w:w="990"/>
        <w:gridCol w:w="987"/>
        <w:gridCol w:w="990"/>
        <w:gridCol w:w="1170"/>
        <w:gridCol w:w="1004"/>
        <w:gridCol w:w="1001"/>
        <w:gridCol w:w="1067"/>
        <w:gridCol w:w="927"/>
        <w:gridCol w:w="1005"/>
        <w:gridCol w:w="1005"/>
        <w:gridCol w:w="857"/>
        <w:gridCol w:w="857"/>
        <w:gridCol w:w="1040"/>
      </w:tblGrid>
      <w:tr w14:paraId="487019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1013" w:type="dxa"/>
            <w:tcBorders>
              <w:top w:val="single" w:color="auto" w:sz="4" w:space="0"/>
              <w:left w:val="single" w:color="auto" w:sz="4" w:space="0"/>
              <w:bottom w:val="single" w:color="auto" w:sz="4" w:space="0"/>
              <w:right w:val="single" w:color="auto" w:sz="4" w:space="0"/>
            </w:tcBorders>
            <w:vAlign w:val="center"/>
          </w:tcPr>
          <w:p w14:paraId="46D4C479">
            <w:pPr>
              <w:pStyle w:val="38"/>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w:t>
            </w:r>
          </w:p>
          <w:p w14:paraId="6F370C4C">
            <w:pPr>
              <w:pStyle w:val="38"/>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类别</w:t>
            </w:r>
          </w:p>
        </w:tc>
        <w:tc>
          <w:tcPr>
            <w:tcW w:w="11860" w:type="dxa"/>
            <w:gridSpan w:val="12"/>
            <w:tcBorders>
              <w:top w:val="single" w:color="auto" w:sz="4" w:space="0"/>
              <w:left w:val="single" w:color="auto" w:sz="4" w:space="0"/>
              <w:bottom w:val="single" w:color="auto" w:sz="4" w:space="0"/>
              <w:right w:val="single" w:color="auto" w:sz="4" w:space="0"/>
            </w:tcBorders>
            <w:vAlign w:val="center"/>
          </w:tcPr>
          <w:p w14:paraId="6114FF08">
            <w:pPr>
              <w:pStyle w:val="42"/>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分</w:t>
            </w:r>
            <w:r>
              <w:rPr>
                <w:rFonts w:hint="eastAsia" w:ascii="仿宋" w:hAnsi="仿宋" w:eastAsia="仿宋" w:cs="仿宋"/>
                <w:color w:val="000000" w:themeColor="text1"/>
                <w:sz w:val="21"/>
                <w:szCs w:val="21"/>
                <w14:textFill>
                  <w14:solidFill>
                    <w14:schemeClr w14:val="tx1"/>
                  </w14:solidFill>
                </w14:textFill>
              </w:rPr>
              <w:t>项目名称及分值</w:t>
            </w:r>
          </w:p>
        </w:tc>
        <w:tc>
          <w:tcPr>
            <w:tcW w:w="1040" w:type="dxa"/>
            <w:tcBorders>
              <w:top w:val="single" w:color="auto" w:sz="4" w:space="0"/>
              <w:left w:val="single" w:color="auto" w:sz="4" w:space="0"/>
              <w:bottom w:val="single" w:color="auto" w:sz="4" w:space="0"/>
              <w:right w:val="single" w:color="auto" w:sz="4" w:space="0"/>
            </w:tcBorders>
            <w:vAlign w:val="center"/>
          </w:tcPr>
          <w:p w14:paraId="2D5F1B43">
            <w:pPr>
              <w:pStyle w:val="42"/>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总计</w:t>
            </w:r>
          </w:p>
          <w:p w14:paraId="292FF20D">
            <w:pPr>
              <w:pStyle w:val="42"/>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（100分</w:t>
            </w:r>
            <w:r>
              <w:rPr>
                <w:rFonts w:hint="eastAsia" w:ascii="仿宋" w:hAnsi="仿宋" w:eastAsia="仿宋" w:cs="仿宋"/>
                <w:color w:val="000000" w:themeColor="text1"/>
                <w:sz w:val="21"/>
                <w:szCs w:val="21"/>
                <w:lang w:eastAsia="zh-CN"/>
                <w14:textFill>
                  <w14:solidFill>
                    <w14:schemeClr w14:val="tx1"/>
                  </w14:solidFill>
                </w14:textFill>
              </w:rPr>
              <w:t>）</w:t>
            </w:r>
          </w:p>
        </w:tc>
      </w:tr>
      <w:tr w14:paraId="251E88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07" w:hRule="atLeast"/>
        </w:trPr>
        <w:tc>
          <w:tcPr>
            <w:tcW w:w="1013" w:type="dxa"/>
            <w:tcBorders>
              <w:top w:val="single" w:color="auto" w:sz="4" w:space="0"/>
              <w:left w:val="single" w:color="auto" w:sz="4" w:space="0"/>
              <w:bottom w:val="single" w:color="auto" w:sz="4" w:space="0"/>
              <w:right w:val="single" w:color="auto" w:sz="4" w:space="0"/>
            </w:tcBorders>
            <w:vAlign w:val="center"/>
          </w:tcPr>
          <w:p w14:paraId="4393A6BD">
            <w:pPr>
              <w:pStyle w:val="42"/>
              <w:rPr>
                <w:rFonts w:hint="eastAsia" w:ascii="仿宋" w:hAnsi="仿宋" w:eastAsia="仿宋" w:cs="仿宋"/>
                <w:color w:val="000000" w:themeColor="text1"/>
                <w:sz w:val="21"/>
                <w:szCs w:val="21"/>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31865B97">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安全管理（10分）</w:t>
            </w:r>
          </w:p>
        </w:tc>
        <w:tc>
          <w:tcPr>
            <w:tcW w:w="987" w:type="dxa"/>
            <w:tcBorders>
              <w:top w:val="single" w:color="auto" w:sz="4" w:space="0"/>
              <w:left w:val="single" w:color="auto" w:sz="4" w:space="0"/>
              <w:bottom w:val="single" w:color="auto" w:sz="4" w:space="0"/>
              <w:right w:val="single" w:color="auto" w:sz="4" w:space="0"/>
            </w:tcBorders>
            <w:shd w:val="clear" w:color="auto" w:fill="auto"/>
            <w:vAlign w:val="center"/>
          </w:tcPr>
          <w:p w14:paraId="5EE7D791">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文明施工（10分）</w:t>
            </w:r>
          </w:p>
        </w:tc>
        <w:tc>
          <w:tcPr>
            <w:tcW w:w="990" w:type="dxa"/>
            <w:tcBorders>
              <w:top w:val="single" w:color="auto" w:sz="4" w:space="0"/>
              <w:left w:val="single" w:color="auto" w:sz="4" w:space="0"/>
              <w:bottom w:val="single" w:color="auto" w:sz="4" w:space="0"/>
              <w:right w:val="single" w:color="auto" w:sz="4" w:space="0"/>
            </w:tcBorders>
            <w:shd w:val="clear" w:color="auto" w:fill="auto"/>
            <w:vAlign w:val="center"/>
          </w:tcPr>
          <w:p w14:paraId="256EF72B">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高处作业（10分）</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FAD57B7">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施工用电（10分）</w:t>
            </w:r>
          </w:p>
        </w:tc>
        <w:tc>
          <w:tcPr>
            <w:tcW w:w="1004" w:type="dxa"/>
            <w:tcBorders>
              <w:top w:val="single" w:color="auto" w:sz="4" w:space="0"/>
              <w:left w:val="single" w:color="auto" w:sz="4" w:space="0"/>
              <w:bottom w:val="single" w:color="auto" w:sz="4" w:space="0"/>
              <w:right w:val="single" w:color="auto" w:sz="4" w:space="0"/>
            </w:tcBorders>
            <w:shd w:val="clear" w:color="auto" w:fill="auto"/>
            <w:vAlign w:val="center"/>
          </w:tcPr>
          <w:p w14:paraId="75801CC9">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施工机具（5分）</w:t>
            </w:r>
          </w:p>
        </w:tc>
        <w:tc>
          <w:tcPr>
            <w:tcW w:w="1001" w:type="dxa"/>
            <w:tcBorders>
              <w:top w:val="single" w:color="auto" w:sz="4" w:space="0"/>
              <w:left w:val="single" w:color="auto" w:sz="4" w:space="0"/>
              <w:bottom w:val="single" w:color="auto" w:sz="4" w:space="0"/>
              <w:right w:val="single" w:color="auto" w:sz="4" w:space="0"/>
            </w:tcBorders>
            <w:shd w:val="clear" w:color="auto" w:fill="auto"/>
            <w:vAlign w:val="center"/>
          </w:tcPr>
          <w:p w14:paraId="2B03BCA2">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地基基础工程（10分）</w:t>
            </w:r>
          </w:p>
        </w:tc>
        <w:tc>
          <w:tcPr>
            <w:tcW w:w="1067" w:type="dxa"/>
            <w:tcBorders>
              <w:top w:val="single" w:color="auto" w:sz="4" w:space="0"/>
              <w:left w:val="single" w:color="auto" w:sz="4" w:space="0"/>
              <w:bottom w:val="single" w:color="auto" w:sz="4" w:space="0"/>
              <w:right w:val="single" w:color="auto" w:sz="4" w:space="0"/>
            </w:tcBorders>
            <w:shd w:val="clear" w:color="auto" w:fill="auto"/>
            <w:vAlign w:val="center"/>
          </w:tcPr>
          <w:p w14:paraId="6387FB5B">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脚手架与作业平台工程（10分）</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4DB85216">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模板工程及支撑系统（15分）</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14:paraId="6DD4592D">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地下暗挖与顶管工程（10分）</w:t>
            </w:r>
          </w:p>
        </w:tc>
        <w:tc>
          <w:tcPr>
            <w:tcW w:w="1005" w:type="dxa"/>
            <w:tcBorders>
              <w:top w:val="single" w:color="auto" w:sz="4" w:space="0"/>
              <w:left w:val="single" w:color="auto" w:sz="4" w:space="0"/>
              <w:bottom w:val="single" w:color="auto" w:sz="4" w:space="0"/>
              <w:right w:val="single" w:color="auto" w:sz="4" w:space="0"/>
            </w:tcBorders>
            <w:shd w:val="clear" w:color="auto" w:fill="auto"/>
            <w:vAlign w:val="center"/>
          </w:tcPr>
          <w:p w14:paraId="73C45A2B">
            <w:pPr>
              <w:pStyle w:val="42"/>
              <w:rPr>
                <w:rFonts w:hint="eastAsia" w:ascii="仿宋" w:hAnsi="仿宋" w:eastAsia="仿宋" w:cs="仿宋"/>
                <w:bCs/>
                <w:color w:val="000000" w:themeColor="text1"/>
                <w:kern w:val="0"/>
                <w:sz w:val="21"/>
                <w:szCs w:val="21"/>
                <w:lang w:val="en-US" w:eastAsia="zh-CN" w:bidi="ar-SA"/>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起重吊装工程（10分）</w:t>
            </w:r>
          </w:p>
        </w:tc>
        <w:tc>
          <w:tcPr>
            <w:tcW w:w="857" w:type="dxa"/>
            <w:tcBorders>
              <w:top w:val="single" w:color="auto" w:sz="4" w:space="0"/>
              <w:left w:val="single" w:color="auto" w:sz="4" w:space="0"/>
              <w:bottom w:val="single" w:color="auto" w:sz="4" w:space="0"/>
              <w:right w:val="single" w:color="auto" w:sz="4" w:space="0"/>
            </w:tcBorders>
            <w:vAlign w:val="center"/>
          </w:tcPr>
          <w:p w14:paraId="4ECF42DB">
            <w:pPr>
              <w:pStyle w:val="42"/>
              <w:rPr>
                <w:rFonts w:hint="eastAsia" w:ascii="仿宋" w:hAnsi="仿宋" w:eastAsia="仿宋" w:cs="仿宋"/>
                <w:color w:val="000000" w:themeColor="text1"/>
                <w:sz w:val="21"/>
                <w:szCs w:val="21"/>
                <w14:textFill>
                  <w14:solidFill>
                    <w14:schemeClr w14:val="tx1"/>
                  </w14:solidFill>
                </w14:textFill>
              </w:rPr>
            </w:pPr>
          </w:p>
        </w:tc>
        <w:tc>
          <w:tcPr>
            <w:tcW w:w="857" w:type="dxa"/>
            <w:tcBorders>
              <w:top w:val="single" w:color="auto" w:sz="4" w:space="0"/>
              <w:left w:val="single" w:color="auto" w:sz="4" w:space="0"/>
              <w:bottom w:val="single" w:color="auto" w:sz="4" w:space="0"/>
              <w:right w:val="single" w:color="auto" w:sz="4" w:space="0"/>
            </w:tcBorders>
            <w:vAlign w:val="center"/>
          </w:tcPr>
          <w:p w14:paraId="2DF3F578">
            <w:pPr>
              <w:pStyle w:val="42"/>
              <w:rPr>
                <w:rFonts w:hint="eastAsia" w:ascii="仿宋" w:hAnsi="仿宋" w:eastAsia="仿宋" w:cs="仿宋"/>
                <w:color w:val="000000" w:themeColor="text1"/>
                <w:sz w:val="21"/>
                <w:szCs w:val="21"/>
                <w14:textFill>
                  <w14:solidFill>
                    <w14:schemeClr w14:val="tx1"/>
                  </w14:solidFill>
                </w14:textFill>
              </w:rPr>
            </w:pPr>
          </w:p>
        </w:tc>
        <w:tc>
          <w:tcPr>
            <w:tcW w:w="1040" w:type="dxa"/>
            <w:tcBorders>
              <w:top w:val="single" w:color="auto" w:sz="4" w:space="0"/>
              <w:left w:val="single" w:color="auto" w:sz="4" w:space="0"/>
              <w:bottom w:val="single" w:color="auto" w:sz="4" w:space="0"/>
              <w:right w:val="single" w:color="auto" w:sz="4" w:space="0"/>
            </w:tcBorders>
            <w:vAlign w:val="center"/>
          </w:tcPr>
          <w:p w14:paraId="09BD8AF7">
            <w:pPr>
              <w:pStyle w:val="42"/>
              <w:rPr>
                <w:rFonts w:hint="eastAsia" w:ascii="仿宋" w:hAnsi="仿宋" w:eastAsia="仿宋" w:cs="仿宋"/>
                <w:color w:val="000000" w:themeColor="text1"/>
                <w:sz w:val="21"/>
                <w:szCs w:val="21"/>
                <w14:textFill>
                  <w14:solidFill>
                    <w14:schemeClr w14:val="tx1"/>
                  </w14:solidFill>
                </w14:textFill>
              </w:rPr>
            </w:pPr>
          </w:p>
        </w:tc>
      </w:tr>
      <w:tr w14:paraId="71F9DE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0" w:hRule="atLeast"/>
        </w:trPr>
        <w:tc>
          <w:tcPr>
            <w:tcW w:w="1013" w:type="dxa"/>
            <w:tcBorders>
              <w:top w:val="single" w:color="auto" w:sz="4" w:space="0"/>
              <w:left w:val="single" w:color="auto" w:sz="4" w:space="0"/>
              <w:bottom w:val="single" w:color="auto" w:sz="4" w:space="0"/>
              <w:right w:val="single" w:color="auto" w:sz="4" w:space="0"/>
            </w:tcBorders>
            <w:vAlign w:val="center"/>
          </w:tcPr>
          <w:p w14:paraId="0EF9F73D">
            <w:pPr>
              <w:pStyle w:val="42"/>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权重（</w:t>
            </w:r>
            <w:r>
              <w:rPr>
                <w:rFonts w:hint="eastAsia" w:ascii="仿宋" w:hAnsi="仿宋" w:eastAsia="仿宋" w:cs="仿宋"/>
                <w:color w:val="000000" w:themeColor="text1"/>
                <w:sz w:val="21"/>
                <w:szCs w:val="21"/>
                <w:lang w:val="en-US" w:eastAsia="zh-CN"/>
                <w14:textFill>
                  <w14:solidFill>
                    <w14:schemeClr w14:val="tx1"/>
                  </w14:solidFill>
                </w14:textFill>
              </w:rPr>
              <w:t>%</w:t>
            </w:r>
            <w:r>
              <w:rPr>
                <w:rFonts w:hint="eastAsia" w:ascii="仿宋" w:hAnsi="仿宋" w:eastAsia="仿宋" w:cs="仿宋"/>
                <w:color w:val="000000" w:themeColor="text1"/>
                <w:sz w:val="21"/>
                <w:szCs w:val="21"/>
                <w:lang w:eastAsia="zh-CN"/>
                <w14:textFill>
                  <w14:solidFill>
                    <w14:schemeClr w14:val="tx1"/>
                  </w14:solidFill>
                </w14:textFill>
              </w:rPr>
              <w:t>）</w:t>
            </w:r>
          </w:p>
        </w:tc>
        <w:tc>
          <w:tcPr>
            <w:tcW w:w="990" w:type="dxa"/>
            <w:tcBorders>
              <w:top w:val="single" w:color="auto" w:sz="4" w:space="0"/>
              <w:left w:val="single" w:color="auto" w:sz="4" w:space="0"/>
              <w:bottom w:val="single" w:color="auto" w:sz="4" w:space="0"/>
              <w:right w:val="single" w:color="auto" w:sz="4" w:space="0"/>
            </w:tcBorders>
          </w:tcPr>
          <w:p w14:paraId="14221C85">
            <w:pPr>
              <w:pStyle w:val="42"/>
              <w:rPr>
                <w:rFonts w:hint="eastAsia" w:ascii="仿宋" w:hAnsi="仿宋" w:eastAsia="仿宋" w:cs="仿宋"/>
                <w:color w:val="000000" w:themeColor="text1"/>
                <w:sz w:val="21"/>
                <w:szCs w:val="21"/>
                <w14:textFill>
                  <w14:solidFill>
                    <w14:schemeClr w14:val="tx1"/>
                  </w14:solidFill>
                </w14:textFill>
              </w:rPr>
            </w:pPr>
          </w:p>
        </w:tc>
        <w:tc>
          <w:tcPr>
            <w:tcW w:w="987" w:type="dxa"/>
            <w:tcBorders>
              <w:top w:val="single" w:color="auto" w:sz="4" w:space="0"/>
              <w:left w:val="single" w:color="auto" w:sz="4" w:space="0"/>
              <w:bottom w:val="single" w:color="auto" w:sz="4" w:space="0"/>
              <w:right w:val="single" w:color="auto" w:sz="4" w:space="0"/>
            </w:tcBorders>
          </w:tcPr>
          <w:p w14:paraId="1B47384E">
            <w:pPr>
              <w:pStyle w:val="42"/>
              <w:rPr>
                <w:rFonts w:hint="eastAsia" w:ascii="仿宋" w:hAnsi="仿宋" w:eastAsia="仿宋" w:cs="仿宋"/>
                <w:color w:val="000000" w:themeColor="text1"/>
                <w:sz w:val="21"/>
                <w:szCs w:val="21"/>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tcPr>
          <w:p w14:paraId="414DABDA">
            <w:pPr>
              <w:pStyle w:val="42"/>
              <w:rPr>
                <w:rFonts w:hint="eastAsia" w:ascii="仿宋" w:hAnsi="仿宋" w:eastAsia="仿宋" w:cs="仿宋"/>
                <w:color w:val="000000" w:themeColor="text1"/>
                <w:sz w:val="21"/>
                <w:szCs w:val="21"/>
                <w14:textFill>
                  <w14:solidFill>
                    <w14:schemeClr w14:val="tx1"/>
                  </w14:solidFill>
                </w14:textFill>
              </w:rPr>
            </w:pPr>
          </w:p>
        </w:tc>
        <w:tc>
          <w:tcPr>
            <w:tcW w:w="1170" w:type="dxa"/>
            <w:tcBorders>
              <w:top w:val="single" w:color="auto" w:sz="4" w:space="0"/>
              <w:left w:val="single" w:color="auto" w:sz="4" w:space="0"/>
              <w:bottom w:val="single" w:color="auto" w:sz="4" w:space="0"/>
              <w:right w:val="single" w:color="auto" w:sz="4" w:space="0"/>
            </w:tcBorders>
          </w:tcPr>
          <w:p w14:paraId="21DBEC9C">
            <w:pPr>
              <w:pStyle w:val="42"/>
              <w:rPr>
                <w:rFonts w:hint="eastAsia" w:ascii="仿宋" w:hAnsi="仿宋" w:eastAsia="仿宋" w:cs="仿宋"/>
                <w:color w:val="000000" w:themeColor="text1"/>
                <w:sz w:val="21"/>
                <w:szCs w:val="21"/>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1EE8F1F7">
            <w:pPr>
              <w:pStyle w:val="42"/>
              <w:rPr>
                <w:rFonts w:hint="eastAsia" w:ascii="仿宋" w:hAnsi="仿宋" w:eastAsia="仿宋" w:cs="仿宋"/>
                <w:color w:val="000000" w:themeColor="text1"/>
                <w:sz w:val="21"/>
                <w:szCs w:val="21"/>
                <w14:textFill>
                  <w14:solidFill>
                    <w14:schemeClr w14:val="tx1"/>
                  </w14:solidFill>
                </w14:textFill>
              </w:rPr>
            </w:pPr>
          </w:p>
        </w:tc>
        <w:tc>
          <w:tcPr>
            <w:tcW w:w="1001" w:type="dxa"/>
            <w:tcBorders>
              <w:top w:val="single" w:color="auto" w:sz="4" w:space="0"/>
              <w:left w:val="single" w:color="auto" w:sz="4" w:space="0"/>
              <w:bottom w:val="single" w:color="auto" w:sz="4" w:space="0"/>
              <w:right w:val="single" w:color="auto" w:sz="4" w:space="0"/>
            </w:tcBorders>
          </w:tcPr>
          <w:p w14:paraId="1BDB6BA3">
            <w:pPr>
              <w:pStyle w:val="42"/>
              <w:rPr>
                <w:rFonts w:hint="eastAsia" w:ascii="仿宋" w:hAnsi="仿宋" w:eastAsia="仿宋" w:cs="仿宋"/>
                <w:color w:val="000000" w:themeColor="text1"/>
                <w:sz w:val="21"/>
                <w:szCs w:val="21"/>
                <w14:textFill>
                  <w14:solidFill>
                    <w14:schemeClr w14:val="tx1"/>
                  </w14:solidFill>
                </w14:textFill>
              </w:rPr>
            </w:pPr>
          </w:p>
        </w:tc>
        <w:tc>
          <w:tcPr>
            <w:tcW w:w="1067" w:type="dxa"/>
            <w:tcBorders>
              <w:top w:val="single" w:color="auto" w:sz="4" w:space="0"/>
              <w:left w:val="single" w:color="auto" w:sz="4" w:space="0"/>
              <w:bottom w:val="single" w:color="auto" w:sz="4" w:space="0"/>
              <w:right w:val="single" w:color="auto" w:sz="4" w:space="0"/>
            </w:tcBorders>
          </w:tcPr>
          <w:p w14:paraId="04AB79F8">
            <w:pPr>
              <w:pStyle w:val="42"/>
              <w:rPr>
                <w:rFonts w:hint="eastAsia" w:ascii="仿宋" w:hAnsi="仿宋" w:eastAsia="仿宋" w:cs="仿宋"/>
                <w:color w:val="000000" w:themeColor="text1"/>
                <w:sz w:val="21"/>
                <w:szCs w:val="21"/>
                <w14:textFill>
                  <w14:solidFill>
                    <w14:schemeClr w14:val="tx1"/>
                  </w14:solidFill>
                </w14:textFill>
              </w:rPr>
            </w:pPr>
          </w:p>
        </w:tc>
        <w:tc>
          <w:tcPr>
            <w:tcW w:w="927" w:type="dxa"/>
            <w:tcBorders>
              <w:top w:val="single" w:color="auto" w:sz="4" w:space="0"/>
              <w:left w:val="single" w:color="auto" w:sz="4" w:space="0"/>
              <w:bottom w:val="single" w:color="auto" w:sz="4" w:space="0"/>
              <w:right w:val="single" w:color="auto" w:sz="4" w:space="0"/>
            </w:tcBorders>
          </w:tcPr>
          <w:p w14:paraId="7848448D">
            <w:pPr>
              <w:pStyle w:val="42"/>
              <w:rPr>
                <w:rFonts w:hint="eastAsia" w:ascii="仿宋" w:hAnsi="仿宋" w:eastAsia="仿宋" w:cs="仿宋"/>
                <w:color w:val="000000" w:themeColor="text1"/>
                <w:sz w:val="21"/>
                <w:szCs w:val="21"/>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tcPr>
          <w:p w14:paraId="4C660526">
            <w:pPr>
              <w:pStyle w:val="42"/>
              <w:rPr>
                <w:rFonts w:hint="eastAsia" w:ascii="仿宋" w:hAnsi="仿宋" w:eastAsia="仿宋" w:cs="仿宋"/>
                <w:color w:val="000000" w:themeColor="text1"/>
                <w:sz w:val="21"/>
                <w:szCs w:val="21"/>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tcPr>
          <w:p w14:paraId="0370AD52">
            <w:pPr>
              <w:pStyle w:val="42"/>
              <w:rPr>
                <w:rFonts w:hint="eastAsia" w:ascii="仿宋" w:hAnsi="仿宋" w:eastAsia="仿宋" w:cs="仿宋"/>
                <w:color w:val="000000" w:themeColor="text1"/>
                <w:sz w:val="21"/>
                <w:szCs w:val="21"/>
                <w14:textFill>
                  <w14:solidFill>
                    <w14:schemeClr w14:val="tx1"/>
                  </w14:solidFill>
                </w14:textFill>
              </w:rPr>
            </w:pPr>
          </w:p>
        </w:tc>
        <w:tc>
          <w:tcPr>
            <w:tcW w:w="857" w:type="dxa"/>
            <w:tcBorders>
              <w:top w:val="single" w:color="auto" w:sz="4" w:space="0"/>
              <w:left w:val="single" w:color="auto" w:sz="4" w:space="0"/>
              <w:bottom w:val="single" w:color="auto" w:sz="4" w:space="0"/>
              <w:right w:val="single" w:color="auto" w:sz="4" w:space="0"/>
            </w:tcBorders>
          </w:tcPr>
          <w:p w14:paraId="0B0EC33E">
            <w:pPr>
              <w:pStyle w:val="42"/>
              <w:rPr>
                <w:rFonts w:hint="eastAsia" w:ascii="仿宋" w:hAnsi="仿宋" w:eastAsia="仿宋" w:cs="仿宋"/>
                <w:color w:val="000000" w:themeColor="text1"/>
                <w:sz w:val="21"/>
                <w:szCs w:val="21"/>
                <w14:textFill>
                  <w14:solidFill>
                    <w14:schemeClr w14:val="tx1"/>
                  </w14:solidFill>
                </w14:textFill>
              </w:rPr>
            </w:pPr>
          </w:p>
        </w:tc>
        <w:tc>
          <w:tcPr>
            <w:tcW w:w="857" w:type="dxa"/>
            <w:tcBorders>
              <w:top w:val="single" w:color="auto" w:sz="4" w:space="0"/>
              <w:left w:val="single" w:color="auto" w:sz="4" w:space="0"/>
              <w:bottom w:val="single" w:color="auto" w:sz="4" w:space="0"/>
              <w:right w:val="single" w:color="auto" w:sz="4" w:space="0"/>
            </w:tcBorders>
          </w:tcPr>
          <w:p w14:paraId="062CCBC3">
            <w:pPr>
              <w:pStyle w:val="42"/>
              <w:rPr>
                <w:rFonts w:hint="eastAsia" w:ascii="仿宋" w:hAnsi="仿宋" w:eastAsia="仿宋" w:cs="仿宋"/>
                <w:color w:val="000000" w:themeColor="text1"/>
                <w:sz w:val="21"/>
                <w:szCs w:val="21"/>
                <w14:textFill>
                  <w14:solidFill>
                    <w14:schemeClr w14:val="tx1"/>
                  </w14:solidFill>
                </w14:textFill>
              </w:rPr>
            </w:pPr>
          </w:p>
        </w:tc>
        <w:tc>
          <w:tcPr>
            <w:tcW w:w="1040" w:type="dxa"/>
            <w:tcBorders>
              <w:top w:val="single" w:color="auto" w:sz="4" w:space="0"/>
              <w:left w:val="single" w:color="auto" w:sz="4" w:space="0"/>
              <w:bottom w:val="single" w:color="auto" w:sz="4" w:space="0"/>
              <w:right w:val="single" w:color="auto" w:sz="4" w:space="0"/>
            </w:tcBorders>
          </w:tcPr>
          <w:p w14:paraId="754DF1F4">
            <w:pPr>
              <w:pStyle w:val="42"/>
              <w:rPr>
                <w:rFonts w:hint="eastAsia" w:ascii="仿宋" w:hAnsi="仿宋" w:eastAsia="仿宋" w:cs="仿宋"/>
                <w:color w:val="000000" w:themeColor="text1"/>
                <w:sz w:val="21"/>
                <w:szCs w:val="21"/>
                <w14:textFill>
                  <w14:solidFill>
                    <w14:schemeClr w14:val="tx1"/>
                  </w14:solidFill>
                </w14:textFill>
              </w:rPr>
            </w:pPr>
          </w:p>
        </w:tc>
      </w:tr>
      <w:tr w14:paraId="720A309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trPr>
        <w:tc>
          <w:tcPr>
            <w:tcW w:w="1013" w:type="dxa"/>
            <w:tcBorders>
              <w:top w:val="single" w:color="auto" w:sz="4" w:space="0"/>
              <w:left w:val="single" w:color="auto" w:sz="4" w:space="0"/>
              <w:bottom w:val="single" w:color="auto" w:sz="4" w:space="0"/>
              <w:right w:val="single" w:color="auto" w:sz="4" w:space="0"/>
            </w:tcBorders>
            <w:vAlign w:val="center"/>
          </w:tcPr>
          <w:p w14:paraId="67062FE5">
            <w:pPr>
              <w:pStyle w:val="42"/>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自评分</w:t>
            </w:r>
          </w:p>
        </w:tc>
        <w:tc>
          <w:tcPr>
            <w:tcW w:w="990" w:type="dxa"/>
            <w:tcBorders>
              <w:top w:val="single" w:color="auto" w:sz="4" w:space="0"/>
              <w:left w:val="single" w:color="auto" w:sz="4" w:space="0"/>
              <w:bottom w:val="single" w:color="auto" w:sz="4" w:space="0"/>
              <w:right w:val="single" w:color="auto" w:sz="4" w:space="0"/>
            </w:tcBorders>
          </w:tcPr>
          <w:p w14:paraId="0B3893E7">
            <w:pPr>
              <w:pStyle w:val="42"/>
              <w:rPr>
                <w:rFonts w:hint="eastAsia" w:ascii="仿宋" w:hAnsi="仿宋" w:eastAsia="仿宋" w:cs="仿宋"/>
                <w:color w:val="000000" w:themeColor="text1"/>
                <w:sz w:val="21"/>
                <w:szCs w:val="21"/>
                <w14:textFill>
                  <w14:solidFill>
                    <w14:schemeClr w14:val="tx1"/>
                  </w14:solidFill>
                </w14:textFill>
              </w:rPr>
            </w:pPr>
          </w:p>
        </w:tc>
        <w:tc>
          <w:tcPr>
            <w:tcW w:w="987" w:type="dxa"/>
            <w:tcBorders>
              <w:top w:val="single" w:color="auto" w:sz="4" w:space="0"/>
              <w:left w:val="single" w:color="auto" w:sz="4" w:space="0"/>
              <w:bottom w:val="single" w:color="auto" w:sz="4" w:space="0"/>
              <w:right w:val="single" w:color="auto" w:sz="4" w:space="0"/>
            </w:tcBorders>
          </w:tcPr>
          <w:p w14:paraId="5D505A55">
            <w:pPr>
              <w:pStyle w:val="42"/>
              <w:rPr>
                <w:rFonts w:hint="eastAsia" w:ascii="仿宋" w:hAnsi="仿宋" w:eastAsia="仿宋" w:cs="仿宋"/>
                <w:color w:val="000000" w:themeColor="text1"/>
                <w:sz w:val="21"/>
                <w:szCs w:val="21"/>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tcPr>
          <w:p w14:paraId="35AA4AA6">
            <w:pPr>
              <w:pStyle w:val="42"/>
              <w:rPr>
                <w:rFonts w:hint="eastAsia" w:ascii="仿宋" w:hAnsi="仿宋" w:eastAsia="仿宋" w:cs="仿宋"/>
                <w:color w:val="000000" w:themeColor="text1"/>
                <w:sz w:val="21"/>
                <w:szCs w:val="21"/>
                <w14:textFill>
                  <w14:solidFill>
                    <w14:schemeClr w14:val="tx1"/>
                  </w14:solidFill>
                </w14:textFill>
              </w:rPr>
            </w:pPr>
          </w:p>
        </w:tc>
        <w:tc>
          <w:tcPr>
            <w:tcW w:w="1170" w:type="dxa"/>
            <w:tcBorders>
              <w:top w:val="single" w:color="auto" w:sz="4" w:space="0"/>
              <w:left w:val="single" w:color="auto" w:sz="4" w:space="0"/>
              <w:bottom w:val="single" w:color="auto" w:sz="4" w:space="0"/>
              <w:right w:val="single" w:color="auto" w:sz="4" w:space="0"/>
            </w:tcBorders>
          </w:tcPr>
          <w:p w14:paraId="543DDEC9">
            <w:pPr>
              <w:pStyle w:val="42"/>
              <w:rPr>
                <w:rFonts w:hint="eastAsia" w:ascii="仿宋" w:hAnsi="仿宋" w:eastAsia="仿宋" w:cs="仿宋"/>
                <w:color w:val="000000" w:themeColor="text1"/>
                <w:sz w:val="21"/>
                <w:szCs w:val="21"/>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0FA65167">
            <w:pPr>
              <w:pStyle w:val="42"/>
              <w:rPr>
                <w:rFonts w:hint="eastAsia" w:ascii="仿宋" w:hAnsi="仿宋" w:eastAsia="仿宋" w:cs="仿宋"/>
                <w:color w:val="000000" w:themeColor="text1"/>
                <w:sz w:val="21"/>
                <w:szCs w:val="21"/>
                <w14:textFill>
                  <w14:solidFill>
                    <w14:schemeClr w14:val="tx1"/>
                  </w14:solidFill>
                </w14:textFill>
              </w:rPr>
            </w:pPr>
          </w:p>
        </w:tc>
        <w:tc>
          <w:tcPr>
            <w:tcW w:w="1001" w:type="dxa"/>
            <w:tcBorders>
              <w:top w:val="single" w:color="auto" w:sz="4" w:space="0"/>
              <w:left w:val="single" w:color="auto" w:sz="4" w:space="0"/>
              <w:bottom w:val="single" w:color="auto" w:sz="4" w:space="0"/>
              <w:right w:val="single" w:color="auto" w:sz="4" w:space="0"/>
            </w:tcBorders>
          </w:tcPr>
          <w:p w14:paraId="23546923">
            <w:pPr>
              <w:pStyle w:val="42"/>
              <w:rPr>
                <w:rFonts w:hint="eastAsia" w:ascii="仿宋" w:hAnsi="仿宋" w:eastAsia="仿宋" w:cs="仿宋"/>
                <w:color w:val="000000" w:themeColor="text1"/>
                <w:sz w:val="21"/>
                <w:szCs w:val="21"/>
                <w14:textFill>
                  <w14:solidFill>
                    <w14:schemeClr w14:val="tx1"/>
                  </w14:solidFill>
                </w14:textFill>
              </w:rPr>
            </w:pPr>
          </w:p>
        </w:tc>
        <w:tc>
          <w:tcPr>
            <w:tcW w:w="1067" w:type="dxa"/>
            <w:tcBorders>
              <w:top w:val="single" w:color="auto" w:sz="4" w:space="0"/>
              <w:left w:val="single" w:color="auto" w:sz="4" w:space="0"/>
              <w:bottom w:val="single" w:color="auto" w:sz="4" w:space="0"/>
              <w:right w:val="single" w:color="auto" w:sz="4" w:space="0"/>
            </w:tcBorders>
          </w:tcPr>
          <w:p w14:paraId="07D278B5">
            <w:pPr>
              <w:pStyle w:val="42"/>
              <w:rPr>
                <w:rFonts w:hint="eastAsia" w:ascii="仿宋" w:hAnsi="仿宋" w:eastAsia="仿宋" w:cs="仿宋"/>
                <w:color w:val="000000" w:themeColor="text1"/>
                <w:sz w:val="21"/>
                <w:szCs w:val="21"/>
                <w14:textFill>
                  <w14:solidFill>
                    <w14:schemeClr w14:val="tx1"/>
                  </w14:solidFill>
                </w14:textFill>
              </w:rPr>
            </w:pPr>
          </w:p>
        </w:tc>
        <w:tc>
          <w:tcPr>
            <w:tcW w:w="927" w:type="dxa"/>
            <w:tcBorders>
              <w:top w:val="single" w:color="auto" w:sz="4" w:space="0"/>
              <w:left w:val="single" w:color="auto" w:sz="4" w:space="0"/>
              <w:bottom w:val="single" w:color="auto" w:sz="4" w:space="0"/>
              <w:right w:val="single" w:color="auto" w:sz="4" w:space="0"/>
            </w:tcBorders>
          </w:tcPr>
          <w:p w14:paraId="3275CEED">
            <w:pPr>
              <w:pStyle w:val="42"/>
              <w:rPr>
                <w:rFonts w:hint="eastAsia" w:ascii="仿宋" w:hAnsi="仿宋" w:eastAsia="仿宋" w:cs="仿宋"/>
                <w:color w:val="000000" w:themeColor="text1"/>
                <w:sz w:val="21"/>
                <w:szCs w:val="21"/>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tcPr>
          <w:p w14:paraId="2A7356B6">
            <w:pPr>
              <w:pStyle w:val="42"/>
              <w:rPr>
                <w:rFonts w:hint="eastAsia" w:ascii="仿宋" w:hAnsi="仿宋" w:eastAsia="仿宋" w:cs="仿宋"/>
                <w:color w:val="000000" w:themeColor="text1"/>
                <w:sz w:val="21"/>
                <w:szCs w:val="21"/>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tcPr>
          <w:p w14:paraId="44F5ADB4">
            <w:pPr>
              <w:pStyle w:val="42"/>
              <w:rPr>
                <w:rFonts w:hint="eastAsia" w:ascii="仿宋" w:hAnsi="仿宋" w:eastAsia="仿宋" w:cs="仿宋"/>
                <w:color w:val="000000" w:themeColor="text1"/>
                <w:sz w:val="21"/>
                <w:szCs w:val="21"/>
                <w14:textFill>
                  <w14:solidFill>
                    <w14:schemeClr w14:val="tx1"/>
                  </w14:solidFill>
                </w14:textFill>
              </w:rPr>
            </w:pPr>
          </w:p>
        </w:tc>
        <w:tc>
          <w:tcPr>
            <w:tcW w:w="857" w:type="dxa"/>
            <w:tcBorders>
              <w:top w:val="single" w:color="auto" w:sz="4" w:space="0"/>
              <w:left w:val="single" w:color="auto" w:sz="4" w:space="0"/>
              <w:bottom w:val="single" w:color="auto" w:sz="4" w:space="0"/>
              <w:right w:val="single" w:color="auto" w:sz="4" w:space="0"/>
            </w:tcBorders>
          </w:tcPr>
          <w:p w14:paraId="58B782AE">
            <w:pPr>
              <w:pStyle w:val="42"/>
              <w:rPr>
                <w:rFonts w:hint="eastAsia" w:ascii="仿宋" w:hAnsi="仿宋" w:eastAsia="仿宋" w:cs="仿宋"/>
                <w:color w:val="000000" w:themeColor="text1"/>
                <w:sz w:val="21"/>
                <w:szCs w:val="21"/>
                <w14:textFill>
                  <w14:solidFill>
                    <w14:schemeClr w14:val="tx1"/>
                  </w14:solidFill>
                </w14:textFill>
              </w:rPr>
            </w:pPr>
          </w:p>
        </w:tc>
        <w:tc>
          <w:tcPr>
            <w:tcW w:w="857" w:type="dxa"/>
            <w:tcBorders>
              <w:top w:val="single" w:color="auto" w:sz="4" w:space="0"/>
              <w:left w:val="single" w:color="auto" w:sz="4" w:space="0"/>
              <w:bottom w:val="single" w:color="auto" w:sz="4" w:space="0"/>
              <w:right w:val="single" w:color="auto" w:sz="4" w:space="0"/>
            </w:tcBorders>
          </w:tcPr>
          <w:p w14:paraId="52FAA30A">
            <w:pPr>
              <w:pStyle w:val="42"/>
              <w:rPr>
                <w:rFonts w:hint="eastAsia" w:ascii="仿宋" w:hAnsi="仿宋" w:eastAsia="仿宋" w:cs="仿宋"/>
                <w:color w:val="000000" w:themeColor="text1"/>
                <w:sz w:val="21"/>
                <w:szCs w:val="21"/>
                <w14:textFill>
                  <w14:solidFill>
                    <w14:schemeClr w14:val="tx1"/>
                  </w14:solidFill>
                </w14:textFill>
              </w:rPr>
            </w:pPr>
          </w:p>
        </w:tc>
        <w:tc>
          <w:tcPr>
            <w:tcW w:w="1040" w:type="dxa"/>
            <w:tcBorders>
              <w:top w:val="single" w:color="auto" w:sz="4" w:space="0"/>
              <w:left w:val="single" w:color="auto" w:sz="4" w:space="0"/>
              <w:bottom w:val="single" w:color="auto" w:sz="4" w:space="0"/>
              <w:right w:val="single" w:color="auto" w:sz="4" w:space="0"/>
            </w:tcBorders>
          </w:tcPr>
          <w:p w14:paraId="55410DE0">
            <w:pPr>
              <w:pStyle w:val="42"/>
              <w:rPr>
                <w:rFonts w:hint="eastAsia" w:ascii="仿宋" w:hAnsi="仿宋" w:eastAsia="仿宋" w:cs="仿宋"/>
                <w:color w:val="000000" w:themeColor="text1"/>
                <w:sz w:val="21"/>
                <w:szCs w:val="21"/>
                <w14:textFill>
                  <w14:solidFill>
                    <w14:schemeClr w14:val="tx1"/>
                  </w14:solidFill>
                </w14:textFill>
              </w:rPr>
            </w:pPr>
          </w:p>
        </w:tc>
      </w:tr>
      <w:tr w14:paraId="268905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8" w:hRule="atLeast"/>
        </w:trPr>
        <w:tc>
          <w:tcPr>
            <w:tcW w:w="1013" w:type="dxa"/>
            <w:tcBorders>
              <w:top w:val="single" w:color="auto" w:sz="4" w:space="0"/>
              <w:left w:val="single" w:color="auto" w:sz="4" w:space="0"/>
              <w:bottom w:val="single" w:color="auto" w:sz="4" w:space="0"/>
              <w:right w:val="single" w:color="auto" w:sz="4" w:space="0"/>
            </w:tcBorders>
            <w:vAlign w:val="center"/>
          </w:tcPr>
          <w:p w14:paraId="127B1C24">
            <w:pPr>
              <w:pStyle w:val="42"/>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专家评分</w:t>
            </w:r>
          </w:p>
        </w:tc>
        <w:tc>
          <w:tcPr>
            <w:tcW w:w="990" w:type="dxa"/>
            <w:tcBorders>
              <w:top w:val="single" w:color="auto" w:sz="4" w:space="0"/>
              <w:left w:val="single" w:color="auto" w:sz="4" w:space="0"/>
              <w:bottom w:val="single" w:color="auto" w:sz="4" w:space="0"/>
              <w:right w:val="single" w:color="auto" w:sz="4" w:space="0"/>
            </w:tcBorders>
          </w:tcPr>
          <w:p w14:paraId="717B9DA7">
            <w:pPr>
              <w:pStyle w:val="42"/>
              <w:rPr>
                <w:rFonts w:hint="eastAsia" w:ascii="仿宋" w:hAnsi="仿宋" w:eastAsia="仿宋" w:cs="仿宋"/>
                <w:color w:val="000000" w:themeColor="text1"/>
                <w:sz w:val="21"/>
                <w:szCs w:val="21"/>
                <w14:textFill>
                  <w14:solidFill>
                    <w14:schemeClr w14:val="tx1"/>
                  </w14:solidFill>
                </w14:textFill>
              </w:rPr>
            </w:pPr>
          </w:p>
        </w:tc>
        <w:tc>
          <w:tcPr>
            <w:tcW w:w="987" w:type="dxa"/>
            <w:tcBorders>
              <w:top w:val="single" w:color="auto" w:sz="4" w:space="0"/>
              <w:left w:val="single" w:color="auto" w:sz="4" w:space="0"/>
              <w:bottom w:val="single" w:color="auto" w:sz="4" w:space="0"/>
              <w:right w:val="single" w:color="auto" w:sz="4" w:space="0"/>
            </w:tcBorders>
          </w:tcPr>
          <w:p w14:paraId="33AF304D">
            <w:pPr>
              <w:pStyle w:val="42"/>
              <w:rPr>
                <w:rFonts w:hint="eastAsia" w:ascii="仿宋" w:hAnsi="仿宋" w:eastAsia="仿宋" w:cs="仿宋"/>
                <w:color w:val="000000" w:themeColor="text1"/>
                <w:sz w:val="21"/>
                <w:szCs w:val="21"/>
                <w14:textFill>
                  <w14:solidFill>
                    <w14:schemeClr w14:val="tx1"/>
                  </w14:solidFill>
                </w14:textFill>
              </w:rPr>
            </w:pPr>
          </w:p>
        </w:tc>
        <w:tc>
          <w:tcPr>
            <w:tcW w:w="990" w:type="dxa"/>
            <w:tcBorders>
              <w:top w:val="single" w:color="auto" w:sz="4" w:space="0"/>
              <w:left w:val="single" w:color="auto" w:sz="4" w:space="0"/>
              <w:bottom w:val="single" w:color="auto" w:sz="4" w:space="0"/>
              <w:right w:val="single" w:color="auto" w:sz="4" w:space="0"/>
            </w:tcBorders>
          </w:tcPr>
          <w:p w14:paraId="29CFBB9F">
            <w:pPr>
              <w:pStyle w:val="42"/>
              <w:rPr>
                <w:rFonts w:hint="eastAsia" w:ascii="仿宋" w:hAnsi="仿宋" w:eastAsia="仿宋" w:cs="仿宋"/>
                <w:color w:val="000000" w:themeColor="text1"/>
                <w:sz w:val="21"/>
                <w:szCs w:val="21"/>
                <w14:textFill>
                  <w14:solidFill>
                    <w14:schemeClr w14:val="tx1"/>
                  </w14:solidFill>
                </w14:textFill>
              </w:rPr>
            </w:pPr>
          </w:p>
        </w:tc>
        <w:tc>
          <w:tcPr>
            <w:tcW w:w="1170" w:type="dxa"/>
            <w:tcBorders>
              <w:top w:val="single" w:color="auto" w:sz="4" w:space="0"/>
              <w:left w:val="single" w:color="auto" w:sz="4" w:space="0"/>
              <w:bottom w:val="single" w:color="auto" w:sz="4" w:space="0"/>
              <w:right w:val="single" w:color="auto" w:sz="4" w:space="0"/>
            </w:tcBorders>
          </w:tcPr>
          <w:p w14:paraId="34992819">
            <w:pPr>
              <w:pStyle w:val="42"/>
              <w:rPr>
                <w:rFonts w:hint="eastAsia" w:ascii="仿宋" w:hAnsi="仿宋" w:eastAsia="仿宋" w:cs="仿宋"/>
                <w:color w:val="000000" w:themeColor="text1"/>
                <w:sz w:val="21"/>
                <w:szCs w:val="21"/>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42635CE4">
            <w:pPr>
              <w:pStyle w:val="42"/>
              <w:rPr>
                <w:rFonts w:hint="eastAsia" w:ascii="仿宋" w:hAnsi="仿宋" w:eastAsia="仿宋" w:cs="仿宋"/>
                <w:color w:val="000000" w:themeColor="text1"/>
                <w:sz w:val="21"/>
                <w:szCs w:val="21"/>
                <w14:textFill>
                  <w14:solidFill>
                    <w14:schemeClr w14:val="tx1"/>
                  </w14:solidFill>
                </w14:textFill>
              </w:rPr>
            </w:pPr>
          </w:p>
        </w:tc>
        <w:tc>
          <w:tcPr>
            <w:tcW w:w="1001" w:type="dxa"/>
            <w:tcBorders>
              <w:top w:val="single" w:color="auto" w:sz="4" w:space="0"/>
              <w:left w:val="single" w:color="auto" w:sz="4" w:space="0"/>
              <w:bottom w:val="single" w:color="auto" w:sz="4" w:space="0"/>
              <w:right w:val="single" w:color="auto" w:sz="4" w:space="0"/>
            </w:tcBorders>
          </w:tcPr>
          <w:p w14:paraId="38D86B12">
            <w:pPr>
              <w:pStyle w:val="42"/>
              <w:rPr>
                <w:rFonts w:hint="eastAsia" w:ascii="仿宋" w:hAnsi="仿宋" w:eastAsia="仿宋" w:cs="仿宋"/>
                <w:color w:val="000000" w:themeColor="text1"/>
                <w:sz w:val="21"/>
                <w:szCs w:val="21"/>
                <w14:textFill>
                  <w14:solidFill>
                    <w14:schemeClr w14:val="tx1"/>
                  </w14:solidFill>
                </w14:textFill>
              </w:rPr>
            </w:pPr>
          </w:p>
        </w:tc>
        <w:tc>
          <w:tcPr>
            <w:tcW w:w="1067" w:type="dxa"/>
            <w:tcBorders>
              <w:top w:val="single" w:color="auto" w:sz="4" w:space="0"/>
              <w:left w:val="single" w:color="auto" w:sz="4" w:space="0"/>
              <w:bottom w:val="single" w:color="auto" w:sz="4" w:space="0"/>
              <w:right w:val="single" w:color="auto" w:sz="4" w:space="0"/>
            </w:tcBorders>
          </w:tcPr>
          <w:p w14:paraId="5AD8E197">
            <w:pPr>
              <w:pStyle w:val="42"/>
              <w:rPr>
                <w:rFonts w:hint="eastAsia" w:ascii="仿宋" w:hAnsi="仿宋" w:eastAsia="仿宋" w:cs="仿宋"/>
                <w:color w:val="000000" w:themeColor="text1"/>
                <w:sz w:val="21"/>
                <w:szCs w:val="21"/>
                <w14:textFill>
                  <w14:solidFill>
                    <w14:schemeClr w14:val="tx1"/>
                  </w14:solidFill>
                </w14:textFill>
              </w:rPr>
            </w:pPr>
          </w:p>
        </w:tc>
        <w:tc>
          <w:tcPr>
            <w:tcW w:w="927" w:type="dxa"/>
            <w:tcBorders>
              <w:top w:val="single" w:color="auto" w:sz="4" w:space="0"/>
              <w:left w:val="single" w:color="auto" w:sz="4" w:space="0"/>
              <w:bottom w:val="single" w:color="auto" w:sz="4" w:space="0"/>
              <w:right w:val="single" w:color="auto" w:sz="4" w:space="0"/>
            </w:tcBorders>
          </w:tcPr>
          <w:p w14:paraId="04C77BC9">
            <w:pPr>
              <w:pStyle w:val="42"/>
              <w:rPr>
                <w:rFonts w:hint="eastAsia" w:ascii="仿宋" w:hAnsi="仿宋" w:eastAsia="仿宋" w:cs="仿宋"/>
                <w:color w:val="000000" w:themeColor="text1"/>
                <w:sz w:val="21"/>
                <w:szCs w:val="21"/>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tcPr>
          <w:p w14:paraId="1223875C">
            <w:pPr>
              <w:pStyle w:val="42"/>
              <w:rPr>
                <w:rFonts w:hint="eastAsia" w:ascii="仿宋" w:hAnsi="仿宋" w:eastAsia="仿宋" w:cs="仿宋"/>
                <w:color w:val="000000" w:themeColor="text1"/>
                <w:sz w:val="21"/>
                <w:szCs w:val="21"/>
                <w14:textFill>
                  <w14:solidFill>
                    <w14:schemeClr w14:val="tx1"/>
                  </w14:solidFill>
                </w14:textFill>
              </w:rPr>
            </w:pPr>
          </w:p>
        </w:tc>
        <w:tc>
          <w:tcPr>
            <w:tcW w:w="1005" w:type="dxa"/>
            <w:tcBorders>
              <w:top w:val="single" w:color="auto" w:sz="4" w:space="0"/>
              <w:left w:val="single" w:color="auto" w:sz="4" w:space="0"/>
              <w:bottom w:val="single" w:color="auto" w:sz="4" w:space="0"/>
              <w:right w:val="single" w:color="auto" w:sz="4" w:space="0"/>
            </w:tcBorders>
          </w:tcPr>
          <w:p w14:paraId="48816246">
            <w:pPr>
              <w:pStyle w:val="42"/>
              <w:rPr>
                <w:rFonts w:hint="eastAsia" w:ascii="仿宋" w:hAnsi="仿宋" w:eastAsia="仿宋" w:cs="仿宋"/>
                <w:color w:val="000000" w:themeColor="text1"/>
                <w:sz w:val="21"/>
                <w:szCs w:val="21"/>
                <w14:textFill>
                  <w14:solidFill>
                    <w14:schemeClr w14:val="tx1"/>
                  </w14:solidFill>
                </w14:textFill>
              </w:rPr>
            </w:pPr>
          </w:p>
        </w:tc>
        <w:tc>
          <w:tcPr>
            <w:tcW w:w="857" w:type="dxa"/>
            <w:tcBorders>
              <w:top w:val="single" w:color="auto" w:sz="4" w:space="0"/>
              <w:left w:val="single" w:color="auto" w:sz="4" w:space="0"/>
              <w:bottom w:val="single" w:color="auto" w:sz="4" w:space="0"/>
              <w:right w:val="single" w:color="auto" w:sz="4" w:space="0"/>
            </w:tcBorders>
          </w:tcPr>
          <w:p w14:paraId="51276193">
            <w:pPr>
              <w:pStyle w:val="42"/>
              <w:rPr>
                <w:rFonts w:hint="eastAsia" w:ascii="仿宋" w:hAnsi="仿宋" w:eastAsia="仿宋" w:cs="仿宋"/>
                <w:color w:val="000000" w:themeColor="text1"/>
                <w:sz w:val="21"/>
                <w:szCs w:val="21"/>
                <w14:textFill>
                  <w14:solidFill>
                    <w14:schemeClr w14:val="tx1"/>
                  </w14:solidFill>
                </w14:textFill>
              </w:rPr>
            </w:pPr>
          </w:p>
        </w:tc>
        <w:tc>
          <w:tcPr>
            <w:tcW w:w="857" w:type="dxa"/>
            <w:tcBorders>
              <w:top w:val="single" w:color="auto" w:sz="4" w:space="0"/>
              <w:left w:val="single" w:color="auto" w:sz="4" w:space="0"/>
              <w:bottom w:val="single" w:color="auto" w:sz="4" w:space="0"/>
              <w:right w:val="single" w:color="auto" w:sz="4" w:space="0"/>
            </w:tcBorders>
          </w:tcPr>
          <w:p w14:paraId="4C3C1710">
            <w:pPr>
              <w:pStyle w:val="42"/>
              <w:rPr>
                <w:rFonts w:hint="eastAsia" w:ascii="仿宋" w:hAnsi="仿宋" w:eastAsia="仿宋" w:cs="仿宋"/>
                <w:color w:val="000000" w:themeColor="text1"/>
                <w:sz w:val="21"/>
                <w:szCs w:val="21"/>
                <w14:textFill>
                  <w14:solidFill>
                    <w14:schemeClr w14:val="tx1"/>
                  </w14:solidFill>
                </w14:textFill>
              </w:rPr>
            </w:pPr>
          </w:p>
        </w:tc>
        <w:tc>
          <w:tcPr>
            <w:tcW w:w="1040" w:type="dxa"/>
            <w:tcBorders>
              <w:top w:val="single" w:color="auto" w:sz="4" w:space="0"/>
              <w:left w:val="single" w:color="auto" w:sz="4" w:space="0"/>
              <w:bottom w:val="single" w:color="auto" w:sz="4" w:space="0"/>
              <w:right w:val="single" w:color="auto" w:sz="4" w:space="0"/>
            </w:tcBorders>
          </w:tcPr>
          <w:p w14:paraId="5C2AF695">
            <w:pPr>
              <w:pStyle w:val="42"/>
              <w:rPr>
                <w:rFonts w:hint="eastAsia" w:ascii="仿宋" w:hAnsi="仿宋" w:eastAsia="仿宋" w:cs="仿宋"/>
                <w:color w:val="000000" w:themeColor="text1"/>
                <w:sz w:val="21"/>
                <w:szCs w:val="21"/>
                <w14:textFill>
                  <w14:solidFill>
                    <w14:schemeClr w14:val="tx1"/>
                  </w14:solidFill>
                </w14:textFill>
              </w:rPr>
            </w:pPr>
          </w:p>
        </w:tc>
      </w:tr>
    </w:tbl>
    <w:p w14:paraId="453CBF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注：</w:t>
      </w:r>
      <w:r>
        <w:rPr>
          <w:rFonts w:hint="eastAsia" w:ascii="仿宋" w:hAnsi="仿宋" w:eastAsia="仿宋" w:cs="仿宋"/>
          <w:color w:val="000000" w:themeColor="text1"/>
          <w:sz w:val="21"/>
          <w:szCs w:val="21"/>
          <w:lang w:val="en-US" w:eastAsia="zh-CN"/>
          <w14:textFill>
            <w14:solidFill>
              <w14:schemeClr w14:val="tx1"/>
            </w14:solidFill>
          </w14:textFill>
        </w:rPr>
        <w:t>1、</w:t>
      </w:r>
      <w:r>
        <w:rPr>
          <w:rFonts w:hint="eastAsia" w:ascii="仿宋" w:hAnsi="仿宋" w:eastAsia="仿宋" w:cs="仿宋"/>
          <w:color w:val="000000" w:themeColor="text1"/>
          <w:sz w:val="21"/>
          <w:szCs w:val="21"/>
          <w14:textFill>
            <w14:solidFill>
              <w14:schemeClr w14:val="tx1"/>
            </w14:solidFill>
          </w14:textFill>
        </w:rPr>
        <w:t>项目类别是指道路工程、桥梁工程、隧道工程、燃气工程、给排水工程等项目分类</w:t>
      </w: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2、</w:t>
      </w:r>
      <w:r>
        <w:rPr>
          <w:rFonts w:hint="eastAsia" w:ascii="仿宋" w:hAnsi="仿宋" w:eastAsia="仿宋" w:cs="仿宋"/>
          <w:color w:val="000000" w:themeColor="text1"/>
          <w:sz w:val="21"/>
          <w:szCs w:val="21"/>
          <w:lang w:eastAsia="zh-CN"/>
          <w14:textFill>
            <w14:solidFill>
              <w14:schemeClr w14:val="tx1"/>
            </w14:solidFill>
          </w14:textFill>
        </w:rPr>
        <w:t>分</w:t>
      </w:r>
      <w:r>
        <w:rPr>
          <w:rFonts w:hint="eastAsia" w:ascii="仿宋" w:hAnsi="仿宋" w:eastAsia="仿宋" w:cs="仿宋"/>
          <w:color w:val="000000" w:themeColor="text1"/>
          <w:sz w:val="21"/>
          <w:szCs w:val="21"/>
          <w14:textFill>
            <w14:solidFill>
              <w14:schemeClr w14:val="tx1"/>
            </w14:solidFill>
          </w14:textFill>
        </w:rPr>
        <w:t>项目</w:t>
      </w:r>
      <w:r>
        <w:rPr>
          <w:rFonts w:hint="eastAsia" w:ascii="仿宋" w:hAnsi="仿宋" w:eastAsia="仿宋" w:cs="仿宋"/>
          <w:color w:val="000000" w:themeColor="text1"/>
          <w:sz w:val="21"/>
          <w:szCs w:val="21"/>
          <w:lang w:eastAsia="zh-CN"/>
          <w14:textFill>
            <w14:solidFill>
              <w14:schemeClr w14:val="tx1"/>
            </w14:solidFill>
          </w14:textFill>
        </w:rPr>
        <w:t>根据项目实际涉及情况增减。</w:t>
      </w:r>
    </w:p>
    <w:p w14:paraId="2449AF1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b w:val="0"/>
          <w:bCs/>
          <w:color w:val="000000" w:themeColor="text1"/>
          <w:sz w:val="28"/>
          <w:szCs w:val="28"/>
          <w:lang w:eastAsia="zh-CN"/>
          <w14:textFill>
            <w14:solidFill>
              <w14:schemeClr w14:val="tx1"/>
            </w14:solidFill>
          </w14:textFill>
        </w:rPr>
      </w:pPr>
    </w:p>
    <w:p w14:paraId="0DC7413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1"/>
          <w:szCs w:val="21"/>
          <w14:textFill>
            <w14:solidFill>
              <w14:schemeClr w14:val="tx1"/>
            </w14:solidFill>
          </w14:textFill>
        </w:rPr>
        <w:sectPr>
          <w:pgSz w:w="16838" w:h="11906" w:orient="landscape"/>
          <w:pgMar w:top="1800" w:right="1440" w:bottom="1800" w:left="1440" w:header="851" w:footer="992" w:gutter="0"/>
          <w:cols w:space="720" w:num="1"/>
          <w:docGrid w:type="lines" w:linePitch="326" w:charSpace="0"/>
        </w:sectPr>
      </w:pPr>
      <w:r>
        <w:rPr>
          <w:rFonts w:hint="eastAsia" w:ascii="宋体" w:hAnsi="宋体"/>
          <w:b w:val="0"/>
          <w:bCs/>
          <w:color w:val="000000" w:themeColor="text1"/>
          <w:sz w:val="28"/>
          <w:szCs w:val="28"/>
          <w:lang w:eastAsia="zh-CN"/>
          <w14:textFill>
            <w14:solidFill>
              <w14:schemeClr w14:val="tx1"/>
            </w14:solidFill>
          </w14:textFill>
        </w:rPr>
        <w:t>评价</w:t>
      </w:r>
      <w:r>
        <w:rPr>
          <w:rFonts w:hint="eastAsia" w:ascii="宋体" w:hAnsi="宋体"/>
          <w:b w:val="0"/>
          <w:bCs/>
          <w:color w:val="000000" w:themeColor="text1"/>
          <w:sz w:val="28"/>
          <w:szCs w:val="28"/>
          <w14:textFill>
            <w14:solidFill>
              <w14:schemeClr w14:val="tx1"/>
            </w14:solidFill>
          </w14:textFill>
        </w:rPr>
        <w:t>专家</w:t>
      </w:r>
      <w:r>
        <w:rPr>
          <w:rFonts w:hint="eastAsia" w:ascii="宋体" w:hAnsi="宋体"/>
          <w:b w:val="0"/>
          <w:bCs/>
          <w:color w:val="000000" w:themeColor="text1"/>
          <w:sz w:val="28"/>
          <w:szCs w:val="28"/>
          <w:lang w:eastAsia="zh-CN"/>
          <w14:textFill>
            <w14:solidFill>
              <w14:schemeClr w14:val="tx1"/>
            </w14:solidFill>
          </w14:textFill>
        </w:rPr>
        <w:t>（</w:t>
      </w:r>
      <w:r>
        <w:rPr>
          <w:rFonts w:hint="eastAsia" w:ascii="宋体" w:hAnsi="宋体"/>
          <w:b w:val="0"/>
          <w:bCs/>
          <w:color w:val="000000" w:themeColor="text1"/>
          <w:sz w:val="28"/>
          <w:szCs w:val="28"/>
          <w14:textFill>
            <w14:solidFill>
              <w14:schemeClr w14:val="tx1"/>
            </w14:solidFill>
          </w14:textFill>
        </w:rPr>
        <w:t>签名</w:t>
      </w:r>
      <w:r>
        <w:rPr>
          <w:rFonts w:hint="eastAsia" w:ascii="宋体" w:hAnsi="宋体"/>
          <w:b w:val="0"/>
          <w:bCs/>
          <w:color w:val="000000" w:themeColor="text1"/>
          <w:sz w:val="28"/>
          <w:szCs w:val="28"/>
          <w:lang w:eastAsia="zh-CN"/>
          <w14:textFill>
            <w14:solidFill>
              <w14:schemeClr w14:val="tx1"/>
            </w14:solidFill>
          </w14:textFill>
        </w:rPr>
        <w:t>）</w:t>
      </w:r>
      <w:r>
        <w:rPr>
          <w:rFonts w:hint="eastAsia" w:ascii="宋体" w:hAnsi="宋体"/>
          <w:b w:val="0"/>
          <w:bCs/>
          <w:color w:val="000000" w:themeColor="text1"/>
          <w:sz w:val="28"/>
          <w:szCs w:val="28"/>
          <w14:textFill>
            <w14:solidFill>
              <w14:schemeClr w14:val="tx1"/>
            </w14:solidFill>
          </w14:textFill>
        </w:rPr>
        <w:t>：</w:t>
      </w:r>
      <w:r>
        <w:rPr>
          <w:rFonts w:hint="eastAsia" w:ascii="宋体" w:hAnsi="宋体"/>
          <w:b w:val="0"/>
          <w:bCs/>
          <w:color w:val="000000" w:themeColor="text1"/>
          <w:sz w:val="28"/>
          <w:szCs w:val="28"/>
          <w:lang w:val="en-US" w:eastAsia="zh-CN"/>
          <w14:textFill>
            <w14:solidFill>
              <w14:schemeClr w14:val="tx1"/>
            </w14:solidFill>
          </w14:textFill>
        </w:rPr>
        <w:t xml:space="preserve">                                                        评价日期：    年    月    日</w:t>
      </w:r>
    </w:p>
    <w:p w14:paraId="0D3257E6">
      <w:pPr>
        <w:pStyle w:val="2"/>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color w:val="000000" w:themeColor="text1"/>
          <w:sz w:val="18"/>
          <w:szCs w:val="18"/>
          <w14:textFill>
            <w14:solidFill>
              <w14:schemeClr w14:val="tx1"/>
            </w14:solidFill>
          </w14:textFill>
        </w:rPr>
      </w:pPr>
      <w:bookmarkStart w:id="104" w:name="_Toc28275"/>
      <w:bookmarkStart w:id="105" w:name="_Toc2813"/>
      <w:r>
        <w:rPr>
          <w:rFonts w:hint="eastAsia" w:ascii="宋体" w:hAnsi="宋体" w:eastAsia="宋体" w:cs="宋体"/>
          <w:color w:val="000000" w:themeColor="text1"/>
          <w:sz w:val="18"/>
          <w:szCs w:val="18"/>
          <w14:textFill>
            <w14:solidFill>
              <w14:schemeClr w14:val="tx1"/>
            </w14:solidFill>
          </w14:textFill>
        </w:rPr>
        <w:t>本标准用词说明</w:t>
      </w:r>
      <w:bookmarkEnd w:id="99"/>
      <w:bookmarkEnd w:id="100"/>
      <w:bookmarkEnd w:id="101"/>
      <w:bookmarkEnd w:id="102"/>
      <w:bookmarkEnd w:id="103"/>
      <w:bookmarkEnd w:id="104"/>
      <w:bookmarkEnd w:id="105"/>
    </w:p>
    <w:p w14:paraId="2CA543BB">
      <w:pPr>
        <w:pageBreakBefore w:val="0"/>
        <w:widowControl w:val="0"/>
        <w:tabs>
          <w:tab w:val="left" w:pos="19"/>
        </w:tabs>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 xml:space="preserve">1 </w:t>
      </w:r>
      <w:r>
        <w:rPr>
          <w:rFonts w:hint="eastAsia" w:ascii="宋体" w:hAnsi="宋体" w:eastAsia="宋体" w:cs="宋体"/>
          <w:color w:val="000000" w:themeColor="text1"/>
          <w:sz w:val="18"/>
          <w:szCs w:val="18"/>
          <w14:textFill>
            <w14:solidFill>
              <w14:schemeClr w14:val="tx1"/>
            </w14:solidFill>
          </w14:textFill>
        </w:rPr>
        <w:t xml:space="preserve"> 为便于在执行本标准条文时区别对待，对要求严格程度不同的用词说明如下：</w:t>
      </w:r>
    </w:p>
    <w:p w14:paraId="20867A9F">
      <w:pPr>
        <w:pageBreakBefore w:val="0"/>
        <w:widowControl w:val="0"/>
        <w:tabs>
          <w:tab w:val="left" w:pos="19"/>
        </w:tabs>
        <w:kinsoku/>
        <w:wordWrap/>
        <w:overflowPunct/>
        <w:topLinePunct w:val="0"/>
        <w:autoSpaceDE/>
        <w:autoSpaceDN/>
        <w:bidi w:val="0"/>
        <w:adjustRightInd/>
        <w:snapToGrid/>
        <w:spacing w:line="240" w:lineRule="auto"/>
        <w:ind w:firstLine="181" w:firstLineChars="10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1</w:t>
      </w:r>
      <w:r>
        <w:rPr>
          <w:rFonts w:hint="eastAsia" w:ascii="宋体" w:hAnsi="宋体" w:eastAsia="宋体" w:cs="宋体"/>
          <w:color w:val="000000" w:themeColor="text1"/>
          <w:sz w:val="18"/>
          <w:szCs w:val="18"/>
          <w14:textFill>
            <w14:solidFill>
              <w14:schemeClr w14:val="tx1"/>
            </w14:solidFill>
          </w14:textFill>
        </w:rPr>
        <w:t>）表示很严格，非这样做不可的：正面词采用“必须</w:t>
      </w:r>
      <w:r>
        <w:rPr>
          <w:rFonts w:hint="eastAsia" w:ascii="宋体" w:hAnsi="宋体" w:eastAsia="宋体" w:cs="宋体"/>
          <w:color w:val="000000" w:themeColor="text1"/>
          <w:spacing w:val="120"/>
          <w:sz w:val="18"/>
          <w:szCs w:val="18"/>
          <w14:textFill>
            <w14:solidFill>
              <w14:schemeClr w14:val="tx1"/>
            </w14:solidFill>
          </w14:textFill>
        </w:rPr>
        <w:t>”</w:t>
      </w:r>
      <w:r>
        <w:rPr>
          <w:rFonts w:hint="eastAsia" w:ascii="宋体" w:hAnsi="宋体" w:eastAsia="宋体" w:cs="宋体"/>
          <w:color w:val="000000" w:themeColor="text1"/>
          <w:sz w:val="18"/>
          <w:szCs w:val="18"/>
          <w14:textFill>
            <w14:solidFill>
              <w14:schemeClr w14:val="tx1"/>
            </w14:solidFill>
          </w14:textFill>
        </w:rPr>
        <w:t>，反面词采用“严禁</w:t>
      </w:r>
      <w:r>
        <w:rPr>
          <w:rFonts w:hint="eastAsia" w:ascii="宋体" w:hAnsi="宋体" w:eastAsia="宋体" w:cs="宋体"/>
          <w:color w:val="000000" w:themeColor="text1"/>
          <w:spacing w:val="120"/>
          <w:sz w:val="18"/>
          <w:szCs w:val="18"/>
          <w14:textFill>
            <w14:solidFill>
              <w14:schemeClr w14:val="tx1"/>
            </w14:solidFill>
          </w14:textFill>
        </w:rPr>
        <w:t>”；</w:t>
      </w:r>
    </w:p>
    <w:p w14:paraId="364E77CC">
      <w:pPr>
        <w:pageBreakBefore w:val="0"/>
        <w:widowControl w:val="0"/>
        <w:tabs>
          <w:tab w:val="left" w:pos="19"/>
        </w:tabs>
        <w:kinsoku/>
        <w:wordWrap/>
        <w:overflowPunct/>
        <w:topLinePunct w:val="0"/>
        <w:autoSpaceDE/>
        <w:autoSpaceDN/>
        <w:bidi w:val="0"/>
        <w:adjustRightInd/>
        <w:snapToGrid/>
        <w:spacing w:line="240" w:lineRule="auto"/>
        <w:ind w:firstLine="181" w:firstLineChars="100"/>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2</w:t>
      </w:r>
      <w:r>
        <w:rPr>
          <w:rFonts w:hint="eastAsia" w:ascii="宋体" w:hAnsi="宋体" w:eastAsia="宋体" w:cs="宋体"/>
          <w:color w:val="000000" w:themeColor="text1"/>
          <w:sz w:val="18"/>
          <w:szCs w:val="18"/>
          <w14:textFill>
            <w14:solidFill>
              <w14:schemeClr w14:val="tx1"/>
            </w14:solidFill>
          </w14:textFill>
        </w:rPr>
        <w:t>）表示严格，在正常情况下均应这样做的：正面词采用“应</w:t>
      </w:r>
      <w:r>
        <w:rPr>
          <w:rFonts w:hint="eastAsia" w:ascii="宋体" w:hAnsi="宋体" w:eastAsia="宋体" w:cs="宋体"/>
          <w:color w:val="000000" w:themeColor="text1"/>
          <w:spacing w:val="120"/>
          <w:sz w:val="18"/>
          <w:szCs w:val="18"/>
          <w14:textFill>
            <w14:solidFill>
              <w14:schemeClr w14:val="tx1"/>
            </w14:solidFill>
          </w14:textFill>
        </w:rPr>
        <w:t>”</w:t>
      </w:r>
      <w:r>
        <w:rPr>
          <w:rFonts w:hint="eastAsia" w:ascii="宋体" w:hAnsi="宋体" w:eastAsia="宋体" w:cs="宋体"/>
          <w:color w:val="000000" w:themeColor="text1"/>
          <w:sz w:val="18"/>
          <w:szCs w:val="18"/>
          <w14:textFill>
            <w14:solidFill>
              <w14:schemeClr w14:val="tx1"/>
            </w14:solidFill>
          </w14:textFill>
        </w:rPr>
        <w:t>，反面词采用“不应”或“不得</w:t>
      </w:r>
      <w:r>
        <w:rPr>
          <w:rFonts w:hint="eastAsia" w:ascii="宋体" w:hAnsi="宋体" w:eastAsia="宋体" w:cs="宋体"/>
          <w:color w:val="000000" w:themeColor="text1"/>
          <w:spacing w:val="120"/>
          <w:sz w:val="18"/>
          <w:szCs w:val="18"/>
          <w14:textFill>
            <w14:solidFill>
              <w14:schemeClr w14:val="tx1"/>
            </w14:solidFill>
          </w14:textFill>
        </w:rPr>
        <w:t>”；</w:t>
      </w:r>
    </w:p>
    <w:p w14:paraId="291E580C">
      <w:pPr>
        <w:pageBreakBefore w:val="0"/>
        <w:widowControl w:val="0"/>
        <w:tabs>
          <w:tab w:val="left" w:pos="19"/>
        </w:tabs>
        <w:kinsoku/>
        <w:wordWrap/>
        <w:overflowPunct/>
        <w:topLinePunct w:val="0"/>
        <w:autoSpaceDE/>
        <w:autoSpaceDN/>
        <w:bidi w:val="0"/>
        <w:adjustRightInd/>
        <w:snapToGrid/>
        <w:spacing w:line="240" w:lineRule="auto"/>
        <w:ind w:firstLine="181" w:firstLineChars="100"/>
        <w:textAlignment w:val="auto"/>
        <w:rPr>
          <w:rFonts w:hint="eastAsia" w:ascii="宋体" w:hAnsi="宋体" w:eastAsia="宋体" w:cs="宋体"/>
          <w:color w:val="000000" w:themeColor="text1"/>
          <w:spacing w:val="120"/>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3</w:t>
      </w:r>
      <w:r>
        <w:rPr>
          <w:rFonts w:hint="eastAsia" w:ascii="宋体" w:hAnsi="宋体" w:eastAsia="宋体" w:cs="宋体"/>
          <w:color w:val="000000" w:themeColor="text1"/>
          <w:sz w:val="18"/>
          <w:szCs w:val="18"/>
          <w14:textFill>
            <w14:solidFill>
              <w14:schemeClr w14:val="tx1"/>
            </w14:solidFill>
          </w14:textFill>
        </w:rPr>
        <w:t>）表示允许稍有选择，在条件许可时首先这样做的：正面词采用“宜</w:t>
      </w:r>
      <w:r>
        <w:rPr>
          <w:rFonts w:hint="eastAsia" w:ascii="宋体" w:hAnsi="宋体" w:eastAsia="宋体" w:cs="宋体"/>
          <w:color w:val="000000" w:themeColor="text1"/>
          <w:spacing w:val="120"/>
          <w:sz w:val="18"/>
          <w:szCs w:val="18"/>
          <w14:textFill>
            <w14:solidFill>
              <w14:schemeClr w14:val="tx1"/>
            </w14:solidFill>
          </w14:textFill>
        </w:rPr>
        <w:t>”</w:t>
      </w:r>
      <w:r>
        <w:rPr>
          <w:rFonts w:hint="eastAsia" w:ascii="宋体" w:hAnsi="宋体" w:eastAsia="宋体" w:cs="宋体"/>
          <w:color w:val="000000" w:themeColor="text1"/>
          <w:sz w:val="18"/>
          <w:szCs w:val="18"/>
          <w14:textFill>
            <w14:solidFill>
              <w14:schemeClr w14:val="tx1"/>
            </w14:solidFill>
          </w14:textFill>
        </w:rPr>
        <w:t>，反面词采用“不宜</w:t>
      </w:r>
      <w:r>
        <w:rPr>
          <w:rFonts w:hint="eastAsia" w:ascii="宋体" w:hAnsi="宋体" w:eastAsia="宋体" w:cs="宋体"/>
          <w:color w:val="000000" w:themeColor="text1"/>
          <w:spacing w:val="120"/>
          <w:sz w:val="18"/>
          <w:szCs w:val="18"/>
          <w14:textFill>
            <w14:solidFill>
              <w14:schemeClr w14:val="tx1"/>
            </w14:solidFill>
          </w14:textFill>
        </w:rPr>
        <w:t>”；</w:t>
      </w:r>
    </w:p>
    <w:p w14:paraId="1FA4C7C0">
      <w:pPr>
        <w:pageBreakBefore w:val="0"/>
        <w:widowControl w:val="0"/>
        <w:tabs>
          <w:tab w:val="left" w:pos="19"/>
        </w:tabs>
        <w:kinsoku/>
        <w:wordWrap/>
        <w:overflowPunct/>
        <w:topLinePunct w:val="0"/>
        <w:autoSpaceDE/>
        <w:autoSpaceDN/>
        <w:bidi w:val="0"/>
        <w:adjustRightInd/>
        <w:snapToGrid/>
        <w:spacing w:line="240" w:lineRule="auto"/>
        <w:ind w:firstLine="181" w:firstLineChars="100"/>
        <w:textAlignment w:val="auto"/>
        <w:rPr>
          <w:rFonts w:hint="eastAsia" w:ascii="宋体" w:hAnsi="宋体" w:eastAsia="宋体" w:cs="宋体"/>
          <w:color w:val="000000" w:themeColor="text1"/>
          <w:spacing w:val="120"/>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4</w:t>
      </w:r>
      <w:r>
        <w:rPr>
          <w:rFonts w:hint="eastAsia" w:ascii="宋体" w:hAnsi="宋体" w:eastAsia="宋体" w:cs="宋体"/>
          <w:color w:val="000000" w:themeColor="text1"/>
          <w:sz w:val="18"/>
          <w:szCs w:val="18"/>
          <w14:textFill>
            <w14:solidFill>
              <w14:schemeClr w14:val="tx1"/>
            </w14:solidFill>
          </w14:textFill>
        </w:rPr>
        <w:t>）表示有选择，在一定条件下可以这样做的，可采用“可”。</w:t>
      </w:r>
    </w:p>
    <w:p w14:paraId="38BFB681">
      <w:pPr>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b/>
          <w:bCs/>
          <w:color w:val="000000" w:themeColor="text1"/>
          <w:sz w:val="18"/>
          <w:szCs w:val="18"/>
          <w14:textFill>
            <w14:solidFill>
              <w14:schemeClr w14:val="tx1"/>
            </w14:solidFill>
          </w14:textFill>
        </w:rPr>
        <w:t>2</w:t>
      </w:r>
      <w:r>
        <w:rPr>
          <w:rFonts w:hint="eastAsia" w:ascii="宋体" w:hAnsi="宋体" w:eastAsia="宋体" w:cs="宋体"/>
          <w:color w:val="000000" w:themeColor="text1"/>
          <w:sz w:val="18"/>
          <w:szCs w:val="18"/>
          <w14:textFill>
            <w14:solidFill>
              <w14:schemeClr w14:val="tx1"/>
            </w14:solidFill>
          </w14:textFill>
        </w:rPr>
        <w:t xml:space="preserve">  条文中指明应按其他有关标准执行的写法为：“应符合……的规定”或“应按……执行”。</w:t>
      </w:r>
    </w:p>
    <w:p w14:paraId="58818B63">
      <w:pPr>
        <w:pStyle w:val="2"/>
        <w:pageBreakBefore w:val="0"/>
        <w:widowControl w:val="0"/>
        <w:kinsoku/>
        <w:wordWrap/>
        <w:overflowPunct/>
        <w:topLinePunct w:val="0"/>
        <w:autoSpaceDE/>
        <w:autoSpaceDN/>
        <w:bidi w:val="0"/>
        <w:adjustRightInd/>
        <w:snapToGrid/>
        <w:spacing w:before="0" w:after="0" w:line="240" w:lineRule="auto"/>
        <w:textAlignment w:val="auto"/>
        <w:rPr>
          <w:rFonts w:hint="eastAsia" w:ascii="宋体" w:hAnsi="宋体" w:eastAsia="宋体" w:cs="宋体"/>
          <w:color w:val="000000" w:themeColor="text1"/>
          <w:sz w:val="18"/>
          <w:szCs w:val="18"/>
          <w14:textFill>
            <w14:solidFill>
              <w14:schemeClr w14:val="tx1"/>
            </w14:solidFill>
          </w14:textFill>
        </w:rPr>
      </w:pPr>
      <w:bookmarkStart w:id="106" w:name="_Toc23057"/>
      <w:bookmarkStart w:id="107" w:name="_Toc20729"/>
      <w:bookmarkStart w:id="108" w:name="_Toc426474739"/>
      <w:bookmarkStart w:id="109" w:name="_Toc20719"/>
      <w:bookmarkStart w:id="110" w:name="_Toc427334485"/>
      <w:bookmarkStart w:id="111" w:name="_Toc21645"/>
      <w:bookmarkStart w:id="112" w:name="_Toc405227247"/>
      <w:r>
        <w:rPr>
          <w:rFonts w:hint="eastAsia" w:ascii="宋体" w:hAnsi="宋体" w:eastAsia="宋体" w:cs="宋体"/>
          <w:color w:val="000000" w:themeColor="text1"/>
          <w:sz w:val="18"/>
          <w:szCs w:val="18"/>
          <w14:textFill>
            <w14:solidFill>
              <w14:schemeClr w14:val="tx1"/>
            </w14:solidFill>
          </w14:textFill>
        </w:rPr>
        <w:t>引用标准名录</w:t>
      </w:r>
      <w:bookmarkEnd w:id="106"/>
      <w:bookmarkEnd w:id="107"/>
      <w:bookmarkEnd w:id="108"/>
      <w:bookmarkEnd w:id="109"/>
      <w:bookmarkEnd w:id="110"/>
      <w:bookmarkEnd w:id="111"/>
      <w:bookmarkEnd w:id="112"/>
    </w:p>
    <w:p w14:paraId="7CA23EE9">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《滑动模板工程技术规范》GB 50113</w:t>
      </w:r>
    </w:p>
    <w:p w14:paraId="42DD4AE9">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《给水排水构筑物工程施工及验收规范》GB50141</w:t>
      </w:r>
    </w:p>
    <w:p w14:paraId="4B1808CF">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《建设工程施工现场供用电安全规范》GB 50194</w:t>
      </w:r>
    </w:p>
    <w:p w14:paraId="236EF74A">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《给水排水管道工程施工及验收规范》GB 50268</w:t>
      </w:r>
    </w:p>
    <w:p w14:paraId="7BAB566E">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《盾构掘进隧道工程施工及验收规范》GB 50446</w:t>
      </w:r>
    </w:p>
    <w:p w14:paraId="1021912F">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《建筑基坑工程监测技术规范》GB 50497</w:t>
      </w:r>
    </w:p>
    <w:p w14:paraId="7C01793E">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《建设工程施工现场消防安全技术规范》GB 50720</w:t>
      </w:r>
    </w:p>
    <w:p w14:paraId="4DCAD9AB">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《沉井与气压沉箱施工规范》GB/T 51130</w:t>
      </w:r>
    </w:p>
    <w:p w14:paraId="5A1C5AF4">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《塔式起重机安全规程》GB 5144</w:t>
      </w:r>
    </w:p>
    <w:p w14:paraId="1112578A">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《起重机械安全规程》GB 6067</w:t>
      </w:r>
    </w:p>
    <w:p w14:paraId="040A650D">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《施工升降机安全规程》GB 10055</w:t>
      </w:r>
    </w:p>
    <w:p w14:paraId="62F9D497">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《架桥机安全规程》GB26469</w:t>
      </w:r>
    </w:p>
    <w:p w14:paraId="2DA999B8">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《建设机械使用安全技术规程》JGJ 33</w:t>
      </w:r>
    </w:p>
    <w:p w14:paraId="1CA4CF56">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《液压滑动模板施工安全呢技术规程》JGJ65</w:t>
      </w:r>
    </w:p>
    <w:p w14:paraId="45AA55C3">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《建筑工程大模板技术规程》JGJ 74</w:t>
      </w:r>
    </w:p>
    <w:p w14:paraId="1413C15B">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《建筑施工高处作业安全技术规范》JGJ 80</w:t>
      </w:r>
    </w:p>
    <w:p w14:paraId="373D3ED0">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《龙门架及井架物料提升机安全技术规范》JGJ 88</w:t>
      </w:r>
    </w:p>
    <w:p w14:paraId="6F23C23B">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《建筑桩基技术规范》JGJ 94</w:t>
      </w:r>
    </w:p>
    <w:p w14:paraId="02A3ED4B">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《建筑基坑支护技术规程》JGJ 120</w:t>
      </w:r>
    </w:p>
    <w:p w14:paraId="02F7EB18">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《建筑施工门式钢管脚手架安全技术规范》JGJ 128</w:t>
      </w:r>
    </w:p>
    <w:p w14:paraId="686728A6">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《建筑施工扣件式钢管脚手架安全技术规范》JGJ 130</w:t>
      </w:r>
    </w:p>
    <w:p w14:paraId="112BF15E">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《建筑施工现场环境与卫生标准》JGJ 146</w:t>
      </w:r>
    </w:p>
    <w:p w14:paraId="7BB9A780">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《施工现场机械设备检查技术规程》JGJ 160</w:t>
      </w:r>
    </w:p>
    <w:p w14:paraId="1AC665A0">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《建筑施工碗扣式钢管脚手架安全技术规范》JGJ 166</w:t>
      </w:r>
    </w:p>
    <w:p w14:paraId="7E02790F">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《建筑施工土石方工程安全技术规范》JGJ 180</w:t>
      </w:r>
    </w:p>
    <w:p w14:paraId="010B487A">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《施工现场临时建筑物技术规范》JGJ/T 188</w:t>
      </w:r>
    </w:p>
    <w:p w14:paraId="7EA90A25">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《液压爬升模板工程技术规程》JGJ 195</w:t>
      </w:r>
    </w:p>
    <w:p w14:paraId="0B3E0841">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《建筑施工塔式起重机安装、使用、拆卸安全技术规程》JGJ 196</w:t>
      </w:r>
    </w:p>
    <w:p w14:paraId="4BF849BA">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《建筑施工工具式脚手架安全技术规范》JGJ 202</w:t>
      </w:r>
    </w:p>
    <w:p w14:paraId="2F4D9E6B">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《建筑施工升降机安装、使用、拆卸安全技术规程》JGJ 215</w:t>
      </w:r>
    </w:p>
    <w:p w14:paraId="0A553C58">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《建筑施工承插型盘扣式钢管支架安全技术规程》JGJ 231</w:t>
      </w:r>
    </w:p>
    <w:p w14:paraId="5AD44AE3">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《市政架桥机安全使用技术规程》JGJ 266</w:t>
      </w:r>
    </w:p>
    <w:p w14:paraId="1DF8E6AF">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《建筑施工起重吊装工程安全技术规范》JGJ 276</w:t>
      </w:r>
    </w:p>
    <w:p w14:paraId="2729F177">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《建筑深基坑工程施工安全技术规范》JGJ 311</w:t>
      </w:r>
    </w:p>
    <w:p w14:paraId="74ACCC94">
      <w:pPr>
        <w:pageBreakBefore w:val="0"/>
        <w:widowControl w:val="0"/>
        <w:numPr>
          <w:ilvl w:val="0"/>
          <w:numId w:val="2"/>
        </w:numPr>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 w:val="18"/>
          <w:szCs w:val="18"/>
          <w14:textFill>
            <w14:solidFill>
              <w14:schemeClr w14:val="tx1"/>
            </w14:solidFill>
          </w14:textFill>
        </w:rPr>
      </w:pPr>
      <w:r>
        <w:rPr>
          <w:rFonts w:hint="eastAsia" w:ascii="宋体" w:hAnsi="宋体" w:eastAsia="宋体" w:cs="宋体"/>
          <w:color w:val="000000" w:themeColor="text1"/>
          <w:sz w:val="18"/>
          <w:szCs w:val="18"/>
          <w14:textFill>
            <w14:solidFill>
              <w14:schemeClr w14:val="tx1"/>
            </w14:solidFill>
          </w14:textFill>
        </w:rPr>
        <w:t>《盾构法开仓及气压作业技术规范》CJJ 217</w:t>
      </w:r>
    </w:p>
    <w:p w14:paraId="42D7315E">
      <w:pPr>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000000" w:themeColor="text1"/>
          <w:sz w:val="18"/>
          <w:szCs w:val="18"/>
          <w:lang w:eastAsia="zh-CN"/>
          <w14:textFill>
            <w14:solidFill>
              <w14:schemeClr w14:val="tx1"/>
            </w14:solidFill>
          </w14:textFill>
        </w:rPr>
      </w:pPr>
      <w:r>
        <w:rPr>
          <w:rFonts w:hint="eastAsia" w:ascii="宋体" w:hAnsi="宋体" w:eastAsia="宋体" w:cs="宋体"/>
          <w:color w:val="000000" w:themeColor="text1"/>
          <w:sz w:val="18"/>
          <w:szCs w:val="18"/>
          <w:lang w:eastAsia="zh-CN"/>
          <w14:textFill>
            <w14:solidFill>
              <w14:schemeClr w14:val="tx1"/>
            </w14:solidFill>
          </w14:textFill>
        </w:rPr>
        <w:t>（本页无需打印）</w:t>
      </w:r>
    </w:p>
    <w:bookmarkEnd w:id="1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9A424">
    <w:pPr>
      <w:pStyle w:val="11"/>
      <w:jc w:val="center"/>
    </w:pPr>
    <w:r>
      <w:fldChar w:fldCharType="begin"/>
    </w:r>
    <w:r>
      <w:instrText xml:space="preserve"> PAGE   \* MERGEFORMAT </w:instrText>
    </w:r>
    <w:r>
      <w:fldChar w:fldCharType="separate"/>
    </w:r>
    <w:r>
      <w:rPr>
        <w:lang w:val="zh-CN"/>
      </w:rPr>
      <w:t>1</w:t>
    </w:r>
    <w:r>
      <w:fldChar w:fldCharType="end"/>
    </w:r>
  </w:p>
  <w:p w14:paraId="7ADB51C6">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4355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D763FFA"/>
    <w:multiLevelType w:val="multilevel"/>
    <w:tmpl w:val="2D763FF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60"/>
  <w:drawingGridVerticalSpacing w:val="435"/>
  <w:displayHorizontalDrawingGridEvery w:val="0"/>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YTZkMjM5MDQyOWQ4YzRlZGQ4MWVmN2VjMDVlOWYifQ=="/>
  </w:docVars>
  <w:rsids>
    <w:rsidRoot w:val="00172A27"/>
    <w:rsid w:val="00000441"/>
    <w:rsid w:val="0000235E"/>
    <w:rsid w:val="00013F93"/>
    <w:rsid w:val="000154A4"/>
    <w:rsid w:val="0001605C"/>
    <w:rsid w:val="00016E74"/>
    <w:rsid w:val="00021152"/>
    <w:rsid w:val="00023EF2"/>
    <w:rsid w:val="00030A73"/>
    <w:rsid w:val="00034EEB"/>
    <w:rsid w:val="00037A6B"/>
    <w:rsid w:val="00053A59"/>
    <w:rsid w:val="0005406C"/>
    <w:rsid w:val="000548DC"/>
    <w:rsid w:val="00064320"/>
    <w:rsid w:val="00083142"/>
    <w:rsid w:val="000855C1"/>
    <w:rsid w:val="00085949"/>
    <w:rsid w:val="00087AF0"/>
    <w:rsid w:val="00097111"/>
    <w:rsid w:val="000A079D"/>
    <w:rsid w:val="000A1EE0"/>
    <w:rsid w:val="000A2547"/>
    <w:rsid w:val="000B00E4"/>
    <w:rsid w:val="000B0AE8"/>
    <w:rsid w:val="000B576C"/>
    <w:rsid w:val="000C1137"/>
    <w:rsid w:val="000D2440"/>
    <w:rsid w:val="000D2BAB"/>
    <w:rsid w:val="000D70C1"/>
    <w:rsid w:val="000E064A"/>
    <w:rsid w:val="000E67AC"/>
    <w:rsid w:val="000F0CA1"/>
    <w:rsid w:val="000F1F1E"/>
    <w:rsid w:val="000F29DB"/>
    <w:rsid w:val="000F4111"/>
    <w:rsid w:val="001059AD"/>
    <w:rsid w:val="0010607D"/>
    <w:rsid w:val="00110D02"/>
    <w:rsid w:val="00112896"/>
    <w:rsid w:val="0011389C"/>
    <w:rsid w:val="001144AE"/>
    <w:rsid w:val="0012508A"/>
    <w:rsid w:val="00125C06"/>
    <w:rsid w:val="00127B5F"/>
    <w:rsid w:val="00131C47"/>
    <w:rsid w:val="00133B51"/>
    <w:rsid w:val="00147406"/>
    <w:rsid w:val="0015008E"/>
    <w:rsid w:val="0015481F"/>
    <w:rsid w:val="001633C2"/>
    <w:rsid w:val="00164639"/>
    <w:rsid w:val="00171FB9"/>
    <w:rsid w:val="00172A27"/>
    <w:rsid w:val="001772A3"/>
    <w:rsid w:val="00180452"/>
    <w:rsid w:val="0018391D"/>
    <w:rsid w:val="00192F54"/>
    <w:rsid w:val="00194D81"/>
    <w:rsid w:val="00196824"/>
    <w:rsid w:val="001A260C"/>
    <w:rsid w:val="001B319F"/>
    <w:rsid w:val="001B6E43"/>
    <w:rsid w:val="001C1081"/>
    <w:rsid w:val="001C2734"/>
    <w:rsid w:val="001C7C82"/>
    <w:rsid w:val="001E260E"/>
    <w:rsid w:val="001E456E"/>
    <w:rsid w:val="001E667C"/>
    <w:rsid w:val="00200078"/>
    <w:rsid w:val="00201C23"/>
    <w:rsid w:val="00205DC1"/>
    <w:rsid w:val="00206645"/>
    <w:rsid w:val="002113C7"/>
    <w:rsid w:val="00211833"/>
    <w:rsid w:val="002141E9"/>
    <w:rsid w:val="00225AA4"/>
    <w:rsid w:val="00232210"/>
    <w:rsid w:val="00240719"/>
    <w:rsid w:val="0024478F"/>
    <w:rsid w:val="002465B1"/>
    <w:rsid w:val="00253B95"/>
    <w:rsid w:val="00260810"/>
    <w:rsid w:val="00262A73"/>
    <w:rsid w:val="00263B54"/>
    <w:rsid w:val="0026589B"/>
    <w:rsid w:val="00275573"/>
    <w:rsid w:val="002756D2"/>
    <w:rsid w:val="0028150C"/>
    <w:rsid w:val="00282ABD"/>
    <w:rsid w:val="00285B7B"/>
    <w:rsid w:val="00293C13"/>
    <w:rsid w:val="002A0253"/>
    <w:rsid w:val="002A6428"/>
    <w:rsid w:val="002B7544"/>
    <w:rsid w:val="002C62BA"/>
    <w:rsid w:val="002D2258"/>
    <w:rsid w:val="002E3C62"/>
    <w:rsid w:val="002E4B28"/>
    <w:rsid w:val="002F15A3"/>
    <w:rsid w:val="002F2A3C"/>
    <w:rsid w:val="002F3902"/>
    <w:rsid w:val="003036AE"/>
    <w:rsid w:val="0030641F"/>
    <w:rsid w:val="00307928"/>
    <w:rsid w:val="0031028F"/>
    <w:rsid w:val="00311370"/>
    <w:rsid w:val="00312976"/>
    <w:rsid w:val="003155D6"/>
    <w:rsid w:val="00316C9B"/>
    <w:rsid w:val="0031705B"/>
    <w:rsid w:val="00321D16"/>
    <w:rsid w:val="00327CAC"/>
    <w:rsid w:val="003314D2"/>
    <w:rsid w:val="00332DC1"/>
    <w:rsid w:val="00335B26"/>
    <w:rsid w:val="003363FE"/>
    <w:rsid w:val="00350CE1"/>
    <w:rsid w:val="003514E8"/>
    <w:rsid w:val="003536CF"/>
    <w:rsid w:val="00362789"/>
    <w:rsid w:val="003640C8"/>
    <w:rsid w:val="00364BF4"/>
    <w:rsid w:val="00374A0B"/>
    <w:rsid w:val="0037573B"/>
    <w:rsid w:val="003853F0"/>
    <w:rsid w:val="00386264"/>
    <w:rsid w:val="00390CCE"/>
    <w:rsid w:val="00395C34"/>
    <w:rsid w:val="003972C3"/>
    <w:rsid w:val="003B6C3A"/>
    <w:rsid w:val="003B7289"/>
    <w:rsid w:val="003B7A51"/>
    <w:rsid w:val="003C2E95"/>
    <w:rsid w:val="003D7237"/>
    <w:rsid w:val="003E0724"/>
    <w:rsid w:val="003F01B5"/>
    <w:rsid w:val="003F247E"/>
    <w:rsid w:val="00401265"/>
    <w:rsid w:val="004066A5"/>
    <w:rsid w:val="00425113"/>
    <w:rsid w:val="00426F31"/>
    <w:rsid w:val="004313F4"/>
    <w:rsid w:val="00433E0B"/>
    <w:rsid w:val="00437A0A"/>
    <w:rsid w:val="00441108"/>
    <w:rsid w:val="00444EF2"/>
    <w:rsid w:val="00453AC4"/>
    <w:rsid w:val="00453B22"/>
    <w:rsid w:val="00457F86"/>
    <w:rsid w:val="0046273C"/>
    <w:rsid w:val="00467D87"/>
    <w:rsid w:val="00472AAE"/>
    <w:rsid w:val="00473154"/>
    <w:rsid w:val="00475DA0"/>
    <w:rsid w:val="004812E3"/>
    <w:rsid w:val="00485B29"/>
    <w:rsid w:val="004874BB"/>
    <w:rsid w:val="00490D43"/>
    <w:rsid w:val="00491E5C"/>
    <w:rsid w:val="004920EE"/>
    <w:rsid w:val="004A05A4"/>
    <w:rsid w:val="004A0D89"/>
    <w:rsid w:val="004A18FB"/>
    <w:rsid w:val="004A6C1B"/>
    <w:rsid w:val="004A7135"/>
    <w:rsid w:val="004B15B8"/>
    <w:rsid w:val="004B2675"/>
    <w:rsid w:val="004B5218"/>
    <w:rsid w:val="004C47F2"/>
    <w:rsid w:val="004C571E"/>
    <w:rsid w:val="004D10EB"/>
    <w:rsid w:val="004D5392"/>
    <w:rsid w:val="004E2988"/>
    <w:rsid w:val="004E5CAC"/>
    <w:rsid w:val="004F208C"/>
    <w:rsid w:val="005027B4"/>
    <w:rsid w:val="0050355B"/>
    <w:rsid w:val="00507A8F"/>
    <w:rsid w:val="005134DF"/>
    <w:rsid w:val="00527141"/>
    <w:rsid w:val="00534B37"/>
    <w:rsid w:val="00534EA8"/>
    <w:rsid w:val="00543E9A"/>
    <w:rsid w:val="00551A0E"/>
    <w:rsid w:val="00551F17"/>
    <w:rsid w:val="00556132"/>
    <w:rsid w:val="005616B2"/>
    <w:rsid w:val="00566D32"/>
    <w:rsid w:val="00567861"/>
    <w:rsid w:val="0057162D"/>
    <w:rsid w:val="005769BB"/>
    <w:rsid w:val="005778B6"/>
    <w:rsid w:val="005806E6"/>
    <w:rsid w:val="005834CE"/>
    <w:rsid w:val="005857D2"/>
    <w:rsid w:val="00585CC6"/>
    <w:rsid w:val="00585FCA"/>
    <w:rsid w:val="00591F05"/>
    <w:rsid w:val="00593069"/>
    <w:rsid w:val="005A0485"/>
    <w:rsid w:val="005A1569"/>
    <w:rsid w:val="005B62F3"/>
    <w:rsid w:val="005B75D4"/>
    <w:rsid w:val="005C1598"/>
    <w:rsid w:val="005C1CE5"/>
    <w:rsid w:val="005D0AA0"/>
    <w:rsid w:val="005D2655"/>
    <w:rsid w:val="005D37B5"/>
    <w:rsid w:val="005E14AD"/>
    <w:rsid w:val="005E6D16"/>
    <w:rsid w:val="005F0261"/>
    <w:rsid w:val="005F2523"/>
    <w:rsid w:val="005F3294"/>
    <w:rsid w:val="00603F7C"/>
    <w:rsid w:val="00607E09"/>
    <w:rsid w:val="00613CDB"/>
    <w:rsid w:val="0061533E"/>
    <w:rsid w:val="00616953"/>
    <w:rsid w:val="006324D6"/>
    <w:rsid w:val="00635345"/>
    <w:rsid w:val="00635EA8"/>
    <w:rsid w:val="00636D8A"/>
    <w:rsid w:val="00642443"/>
    <w:rsid w:val="00643EA6"/>
    <w:rsid w:val="00650052"/>
    <w:rsid w:val="00653ACA"/>
    <w:rsid w:val="00662BC6"/>
    <w:rsid w:val="006654F5"/>
    <w:rsid w:val="006664F1"/>
    <w:rsid w:val="00666B8C"/>
    <w:rsid w:val="00667E17"/>
    <w:rsid w:val="00667F3C"/>
    <w:rsid w:val="00671738"/>
    <w:rsid w:val="00682031"/>
    <w:rsid w:val="00695EA6"/>
    <w:rsid w:val="0069796F"/>
    <w:rsid w:val="00697EA8"/>
    <w:rsid w:val="006A54F0"/>
    <w:rsid w:val="006A5792"/>
    <w:rsid w:val="006A5B83"/>
    <w:rsid w:val="006A7ED6"/>
    <w:rsid w:val="006C1737"/>
    <w:rsid w:val="006D000B"/>
    <w:rsid w:val="006D4C30"/>
    <w:rsid w:val="006E0B26"/>
    <w:rsid w:val="006E132C"/>
    <w:rsid w:val="006E6FAB"/>
    <w:rsid w:val="006F3683"/>
    <w:rsid w:val="006F453A"/>
    <w:rsid w:val="007048E9"/>
    <w:rsid w:val="00705FDD"/>
    <w:rsid w:val="00712FE1"/>
    <w:rsid w:val="00713E7B"/>
    <w:rsid w:val="00722967"/>
    <w:rsid w:val="007232E7"/>
    <w:rsid w:val="007306E8"/>
    <w:rsid w:val="00730CFD"/>
    <w:rsid w:val="00731831"/>
    <w:rsid w:val="00736B2C"/>
    <w:rsid w:val="00737DBA"/>
    <w:rsid w:val="007513EB"/>
    <w:rsid w:val="0075784E"/>
    <w:rsid w:val="00760C9D"/>
    <w:rsid w:val="007639E4"/>
    <w:rsid w:val="007641BD"/>
    <w:rsid w:val="007647F7"/>
    <w:rsid w:val="00765A65"/>
    <w:rsid w:val="007701E5"/>
    <w:rsid w:val="0077049D"/>
    <w:rsid w:val="00772D8D"/>
    <w:rsid w:val="00786E67"/>
    <w:rsid w:val="0079136E"/>
    <w:rsid w:val="007A1B49"/>
    <w:rsid w:val="007A37CC"/>
    <w:rsid w:val="007A4F65"/>
    <w:rsid w:val="007A601C"/>
    <w:rsid w:val="007B3A58"/>
    <w:rsid w:val="007B7787"/>
    <w:rsid w:val="007E541B"/>
    <w:rsid w:val="007E59D3"/>
    <w:rsid w:val="007F08DB"/>
    <w:rsid w:val="007F2F35"/>
    <w:rsid w:val="007F374C"/>
    <w:rsid w:val="00800F9F"/>
    <w:rsid w:val="0080278D"/>
    <w:rsid w:val="00811A0C"/>
    <w:rsid w:val="00820FD5"/>
    <w:rsid w:val="00821850"/>
    <w:rsid w:val="00830B78"/>
    <w:rsid w:val="0084421D"/>
    <w:rsid w:val="00846FEC"/>
    <w:rsid w:val="00862997"/>
    <w:rsid w:val="00862D93"/>
    <w:rsid w:val="00864246"/>
    <w:rsid w:val="008655A7"/>
    <w:rsid w:val="008661B0"/>
    <w:rsid w:val="008713E7"/>
    <w:rsid w:val="00871522"/>
    <w:rsid w:val="00874FEB"/>
    <w:rsid w:val="00883514"/>
    <w:rsid w:val="00894088"/>
    <w:rsid w:val="008A14B3"/>
    <w:rsid w:val="008A1CC3"/>
    <w:rsid w:val="008A2C1E"/>
    <w:rsid w:val="008B1EAC"/>
    <w:rsid w:val="008B3E0C"/>
    <w:rsid w:val="008B68DA"/>
    <w:rsid w:val="008B6937"/>
    <w:rsid w:val="008B7078"/>
    <w:rsid w:val="008B70EE"/>
    <w:rsid w:val="008C0010"/>
    <w:rsid w:val="008C4FB2"/>
    <w:rsid w:val="008C7B80"/>
    <w:rsid w:val="008D3570"/>
    <w:rsid w:val="008D59DC"/>
    <w:rsid w:val="008D6A53"/>
    <w:rsid w:val="008E1521"/>
    <w:rsid w:val="008E6B81"/>
    <w:rsid w:val="008F7482"/>
    <w:rsid w:val="009012A1"/>
    <w:rsid w:val="00902FB8"/>
    <w:rsid w:val="0093641A"/>
    <w:rsid w:val="009365AA"/>
    <w:rsid w:val="0094006C"/>
    <w:rsid w:val="00950850"/>
    <w:rsid w:val="00950A3E"/>
    <w:rsid w:val="00957230"/>
    <w:rsid w:val="00957C1F"/>
    <w:rsid w:val="00961632"/>
    <w:rsid w:val="0096336C"/>
    <w:rsid w:val="00965246"/>
    <w:rsid w:val="00965F80"/>
    <w:rsid w:val="009673B3"/>
    <w:rsid w:val="00973B7A"/>
    <w:rsid w:val="00974685"/>
    <w:rsid w:val="00974A1C"/>
    <w:rsid w:val="0097706A"/>
    <w:rsid w:val="0098183D"/>
    <w:rsid w:val="00981865"/>
    <w:rsid w:val="00990C81"/>
    <w:rsid w:val="00994C9A"/>
    <w:rsid w:val="009A02CF"/>
    <w:rsid w:val="009B3045"/>
    <w:rsid w:val="009B3403"/>
    <w:rsid w:val="009B47A9"/>
    <w:rsid w:val="009B7A17"/>
    <w:rsid w:val="009C4C70"/>
    <w:rsid w:val="009C5D51"/>
    <w:rsid w:val="009C71E1"/>
    <w:rsid w:val="009D0A52"/>
    <w:rsid w:val="009E03F9"/>
    <w:rsid w:val="009E3FF8"/>
    <w:rsid w:val="009F1BA6"/>
    <w:rsid w:val="009F5AA0"/>
    <w:rsid w:val="00A0170B"/>
    <w:rsid w:val="00A15B4B"/>
    <w:rsid w:val="00A15FEC"/>
    <w:rsid w:val="00A20118"/>
    <w:rsid w:val="00A2454A"/>
    <w:rsid w:val="00A2491E"/>
    <w:rsid w:val="00A26D26"/>
    <w:rsid w:val="00A4466A"/>
    <w:rsid w:val="00A46A20"/>
    <w:rsid w:val="00A538C0"/>
    <w:rsid w:val="00A54802"/>
    <w:rsid w:val="00A60FBF"/>
    <w:rsid w:val="00A62E24"/>
    <w:rsid w:val="00A65E09"/>
    <w:rsid w:val="00A66826"/>
    <w:rsid w:val="00A71681"/>
    <w:rsid w:val="00A727FF"/>
    <w:rsid w:val="00A76F7C"/>
    <w:rsid w:val="00A854BE"/>
    <w:rsid w:val="00A952CE"/>
    <w:rsid w:val="00A96B87"/>
    <w:rsid w:val="00AA2996"/>
    <w:rsid w:val="00AA30CD"/>
    <w:rsid w:val="00AA5974"/>
    <w:rsid w:val="00AA7B21"/>
    <w:rsid w:val="00AB08CB"/>
    <w:rsid w:val="00AB4353"/>
    <w:rsid w:val="00AB7496"/>
    <w:rsid w:val="00AC3065"/>
    <w:rsid w:val="00AC67B7"/>
    <w:rsid w:val="00AC75B2"/>
    <w:rsid w:val="00AD41B3"/>
    <w:rsid w:val="00AD6232"/>
    <w:rsid w:val="00AE08EE"/>
    <w:rsid w:val="00AE2D0A"/>
    <w:rsid w:val="00AF19E7"/>
    <w:rsid w:val="00AF46D6"/>
    <w:rsid w:val="00AF6EDF"/>
    <w:rsid w:val="00AF738A"/>
    <w:rsid w:val="00AF7B92"/>
    <w:rsid w:val="00B06B87"/>
    <w:rsid w:val="00B115D9"/>
    <w:rsid w:val="00B14FC1"/>
    <w:rsid w:val="00B32DF1"/>
    <w:rsid w:val="00B34B6E"/>
    <w:rsid w:val="00B36856"/>
    <w:rsid w:val="00B7152C"/>
    <w:rsid w:val="00B73878"/>
    <w:rsid w:val="00B74D60"/>
    <w:rsid w:val="00B7546F"/>
    <w:rsid w:val="00B75A15"/>
    <w:rsid w:val="00B80165"/>
    <w:rsid w:val="00B977F5"/>
    <w:rsid w:val="00BA0712"/>
    <w:rsid w:val="00BA0BA9"/>
    <w:rsid w:val="00BB0EDF"/>
    <w:rsid w:val="00BB162C"/>
    <w:rsid w:val="00BB2754"/>
    <w:rsid w:val="00BB3391"/>
    <w:rsid w:val="00BB55DF"/>
    <w:rsid w:val="00BC5330"/>
    <w:rsid w:val="00BC6542"/>
    <w:rsid w:val="00BC78C0"/>
    <w:rsid w:val="00BC7AB4"/>
    <w:rsid w:val="00BD27EB"/>
    <w:rsid w:val="00BD462A"/>
    <w:rsid w:val="00BD7E0E"/>
    <w:rsid w:val="00BE5651"/>
    <w:rsid w:val="00BE6D4A"/>
    <w:rsid w:val="00BF081C"/>
    <w:rsid w:val="00BF25BC"/>
    <w:rsid w:val="00BF4873"/>
    <w:rsid w:val="00C00605"/>
    <w:rsid w:val="00C02243"/>
    <w:rsid w:val="00C04D34"/>
    <w:rsid w:val="00C0509D"/>
    <w:rsid w:val="00C054C6"/>
    <w:rsid w:val="00C05CD8"/>
    <w:rsid w:val="00C06E3D"/>
    <w:rsid w:val="00C160CB"/>
    <w:rsid w:val="00C17CF7"/>
    <w:rsid w:val="00C23DE2"/>
    <w:rsid w:val="00C37621"/>
    <w:rsid w:val="00C44EAA"/>
    <w:rsid w:val="00C4567E"/>
    <w:rsid w:val="00C470B8"/>
    <w:rsid w:val="00C867D6"/>
    <w:rsid w:val="00C910EF"/>
    <w:rsid w:val="00C9246D"/>
    <w:rsid w:val="00CA00E6"/>
    <w:rsid w:val="00CA6BE9"/>
    <w:rsid w:val="00CB0CD7"/>
    <w:rsid w:val="00CB15A8"/>
    <w:rsid w:val="00CB56B8"/>
    <w:rsid w:val="00CC063C"/>
    <w:rsid w:val="00CC0F13"/>
    <w:rsid w:val="00CC1CB5"/>
    <w:rsid w:val="00CC4722"/>
    <w:rsid w:val="00CC50E6"/>
    <w:rsid w:val="00CC78BB"/>
    <w:rsid w:val="00CD3673"/>
    <w:rsid w:val="00CD5DDB"/>
    <w:rsid w:val="00CD6EF9"/>
    <w:rsid w:val="00CE0D8C"/>
    <w:rsid w:val="00CE5B10"/>
    <w:rsid w:val="00CE6C2A"/>
    <w:rsid w:val="00D12554"/>
    <w:rsid w:val="00D12A5F"/>
    <w:rsid w:val="00D13A32"/>
    <w:rsid w:val="00D16B46"/>
    <w:rsid w:val="00D22E6D"/>
    <w:rsid w:val="00D23469"/>
    <w:rsid w:val="00D36AA9"/>
    <w:rsid w:val="00D41F15"/>
    <w:rsid w:val="00D44B86"/>
    <w:rsid w:val="00D47662"/>
    <w:rsid w:val="00D54034"/>
    <w:rsid w:val="00D54853"/>
    <w:rsid w:val="00D60234"/>
    <w:rsid w:val="00D624B3"/>
    <w:rsid w:val="00D6298A"/>
    <w:rsid w:val="00D65517"/>
    <w:rsid w:val="00D655A2"/>
    <w:rsid w:val="00D668BB"/>
    <w:rsid w:val="00D74C03"/>
    <w:rsid w:val="00D83BEF"/>
    <w:rsid w:val="00D840A2"/>
    <w:rsid w:val="00D86718"/>
    <w:rsid w:val="00D87CC8"/>
    <w:rsid w:val="00D9261C"/>
    <w:rsid w:val="00D92771"/>
    <w:rsid w:val="00D94AB2"/>
    <w:rsid w:val="00DA4CC7"/>
    <w:rsid w:val="00DB058C"/>
    <w:rsid w:val="00DD350D"/>
    <w:rsid w:val="00DE49B9"/>
    <w:rsid w:val="00DE5463"/>
    <w:rsid w:val="00DF00BA"/>
    <w:rsid w:val="00DF08F3"/>
    <w:rsid w:val="00DF1006"/>
    <w:rsid w:val="00DF2457"/>
    <w:rsid w:val="00DF2874"/>
    <w:rsid w:val="00DF2A8D"/>
    <w:rsid w:val="00DF3694"/>
    <w:rsid w:val="00DF572D"/>
    <w:rsid w:val="00DF5D36"/>
    <w:rsid w:val="00E0165A"/>
    <w:rsid w:val="00E06D67"/>
    <w:rsid w:val="00E07467"/>
    <w:rsid w:val="00E07974"/>
    <w:rsid w:val="00E14B4D"/>
    <w:rsid w:val="00E210A1"/>
    <w:rsid w:val="00E23151"/>
    <w:rsid w:val="00E234A4"/>
    <w:rsid w:val="00E26727"/>
    <w:rsid w:val="00E30631"/>
    <w:rsid w:val="00E35AA4"/>
    <w:rsid w:val="00E364D5"/>
    <w:rsid w:val="00E426C5"/>
    <w:rsid w:val="00E434D6"/>
    <w:rsid w:val="00E4636D"/>
    <w:rsid w:val="00E468D6"/>
    <w:rsid w:val="00E508ED"/>
    <w:rsid w:val="00E51022"/>
    <w:rsid w:val="00E6119C"/>
    <w:rsid w:val="00E64272"/>
    <w:rsid w:val="00E64E8D"/>
    <w:rsid w:val="00E66ADF"/>
    <w:rsid w:val="00E74A95"/>
    <w:rsid w:val="00E74E62"/>
    <w:rsid w:val="00E77FBF"/>
    <w:rsid w:val="00E837EE"/>
    <w:rsid w:val="00E870C8"/>
    <w:rsid w:val="00E92011"/>
    <w:rsid w:val="00E938D0"/>
    <w:rsid w:val="00E95302"/>
    <w:rsid w:val="00E95C9F"/>
    <w:rsid w:val="00E96D4A"/>
    <w:rsid w:val="00EA7E7E"/>
    <w:rsid w:val="00EB03A4"/>
    <w:rsid w:val="00EB3949"/>
    <w:rsid w:val="00EB789F"/>
    <w:rsid w:val="00EC1E16"/>
    <w:rsid w:val="00EC4C91"/>
    <w:rsid w:val="00EC59B1"/>
    <w:rsid w:val="00EC5E52"/>
    <w:rsid w:val="00EC656D"/>
    <w:rsid w:val="00EC7623"/>
    <w:rsid w:val="00EC7CA9"/>
    <w:rsid w:val="00EC7FC7"/>
    <w:rsid w:val="00ED7DC8"/>
    <w:rsid w:val="00EE12DA"/>
    <w:rsid w:val="00EE4037"/>
    <w:rsid w:val="00EF6338"/>
    <w:rsid w:val="00EF6B38"/>
    <w:rsid w:val="00F02932"/>
    <w:rsid w:val="00F203C3"/>
    <w:rsid w:val="00F24388"/>
    <w:rsid w:val="00F24CDC"/>
    <w:rsid w:val="00F31916"/>
    <w:rsid w:val="00F3354A"/>
    <w:rsid w:val="00F339B9"/>
    <w:rsid w:val="00F4446F"/>
    <w:rsid w:val="00F51A23"/>
    <w:rsid w:val="00F530F3"/>
    <w:rsid w:val="00F55C36"/>
    <w:rsid w:val="00F65185"/>
    <w:rsid w:val="00F6521F"/>
    <w:rsid w:val="00F66E3F"/>
    <w:rsid w:val="00F723F2"/>
    <w:rsid w:val="00F73389"/>
    <w:rsid w:val="00F77762"/>
    <w:rsid w:val="00F80112"/>
    <w:rsid w:val="00F86CEC"/>
    <w:rsid w:val="00F905EC"/>
    <w:rsid w:val="00F9635D"/>
    <w:rsid w:val="00FA37FB"/>
    <w:rsid w:val="00FA3A92"/>
    <w:rsid w:val="00FA45A3"/>
    <w:rsid w:val="00FB3E62"/>
    <w:rsid w:val="00FC078C"/>
    <w:rsid w:val="00FC0FB9"/>
    <w:rsid w:val="00FC1A6E"/>
    <w:rsid w:val="00FC3E3F"/>
    <w:rsid w:val="00FC5809"/>
    <w:rsid w:val="00FD0038"/>
    <w:rsid w:val="00FD0829"/>
    <w:rsid w:val="00FE0285"/>
    <w:rsid w:val="00FE03AA"/>
    <w:rsid w:val="00FE632C"/>
    <w:rsid w:val="00FF3621"/>
    <w:rsid w:val="00FF3653"/>
    <w:rsid w:val="02D00181"/>
    <w:rsid w:val="079601D3"/>
    <w:rsid w:val="0AE222D4"/>
    <w:rsid w:val="0B1E0758"/>
    <w:rsid w:val="0D8C5798"/>
    <w:rsid w:val="1C1D3591"/>
    <w:rsid w:val="1CC57360"/>
    <w:rsid w:val="201A0226"/>
    <w:rsid w:val="27E3708B"/>
    <w:rsid w:val="2F6B001E"/>
    <w:rsid w:val="31F031A4"/>
    <w:rsid w:val="351C4293"/>
    <w:rsid w:val="4DDB5B5A"/>
    <w:rsid w:val="530E5ED5"/>
    <w:rsid w:val="559477F6"/>
    <w:rsid w:val="57401570"/>
    <w:rsid w:val="5E0F7E5F"/>
    <w:rsid w:val="668E1BB4"/>
    <w:rsid w:val="6CEB1379"/>
    <w:rsid w:val="743A04BA"/>
    <w:rsid w:val="7711659E"/>
    <w:rsid w:val="77924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0"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5"/>
    <w:qFormat/>
    <w:uiPriority w:val="0"/>
    <w:pPr>
      <w:keepNext/>
      <w:keepLines/>
      <w:spacing w:before="260" w:after="260" w:line="416" w:lineRule="auto"/>
      <w:outlineLvl w:val="1"/>
    </w:pPr>
    <w:rPr>
      <w:rFonts w:ascii="Arial" w:hAnsi="Arial" w:eastAsia="黑体"/>
      <w:b/>
      <w:bCs/>
      <w:szCs w:val="32"/>
      <w:lang w:val="zh-CN" w:eastAsia="zh-CN"/>
    </w:rPr>
  </w:style>
  <w:style w:type="paragraph" w:styleId="4">
    <w:name w:val="heading 3"/>
    <w:basedOn w:val="1"/>
    <w:next w:val="1"/>
    <w:link w:val="26"/>
    <w:unhideWhenUsed/>
    <w:qFormat/>
    <w:uiPriority w:val="0"/>
    <w:pPr>
      <w:keepNext/>
      <w:keepLines/>
      <w:spacing w:before="260" w:after="260" w:line="416" w:lineRule="auto"/>
      <w:outlineLvl w:val="2"/>
    </w:pPr>
    <w:rPr>
      <w:b/>
      <w:bCs/>
      <w:szCs w:val="32"/>
      <w:lang w:val="zh-CN" w:eastAsia="zh-CN"/>
    </w:rPr>
  </w:style>
  <w:style w:type="paragraph" w:styleId="5">
    <w:name w:val="heading 5"/>
    <w:basedOn w:val="1"/>
    <w:next w:val="1"/>
    <w:link w:val="27"/>
    <w:qFormat/>
    <w:uiPriority w:val="0"/>
    <w:pPr>
      <w:keepNext/>
      <w:keepLines/>
      <w:spacing w:before="280" w:after="290" w:line="374" w:lineRule="auto"/>
      <w:ind w:left="1008" w:leftChars="1" w:right="25" w:rightChars="12" w:hanging="1008"/>
      <w:outlineLvl w:val="4"/>
    </w:pPr>
    <w:rPr>
      <w:rFonts w:ascii="Calibri" w:hAnsi="Calibri" w:eastAsia="宋体"/>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40"/>
    <w:qFormat/>
    <w:uiPriority w:val="0"/>
    <w:pPr>
      <w:shd w:val="clear" w:color="auto" w:fill="000080"/>
      <w:spacing w:line="400" w:lineRule="exact"/>
    </w:pPr>
    <w:rPr>
      <w:rFonts w:eastAsia="宋体"/>
      <w:kern w:val="0"/>
      <w:sz w:val="24"/>
      <w:szCs w:val="24"/>
      <w:lang w:val="zh-CN" w:eastAsia="zh-CN"/>
    </w:rPr>
  </w:style>
  <w:style w:type="paragraph" w:styleId="7">
    <w:name w:val="annotation text"/>
    <w:basedOn w:val="1"/>
    <w:semiHidden/>
    <w:qFormat/>
    <w:uiPriority w:val="0"/>
    <w:pPr>
      <w:jc w:val="left"/>
    </w:pPr>
  </w:style>
  <w:style w:type="paragraph" w:styleId="8">
    <w:name w:val="Body Text Indent"/>
    <w:basedOn w:val="1"/>
    <w:link w:val="30"/>
    <w:qFormat/>
    <w:uiPriority w:val="0"/>
    <w:pPr>
      <w:ind w:firstLine="420" w:firstLineChars="200"/>
    </w:pPr>
    <w:rPr>
      <w:rFonts w:eastAsia="宋体"/>
      <w:sz w:val="21"/>
      <w:szCs w:val="24"/>
      <w:lang w:val="zh-CN" w:eastAsia="zh-CN"/>
    </w:rPr>
  </w:style>
  <w:style w:type="paragraph" w:styleId="9">
    <w:name w:val="Date"/>
    <w:basedOn w:val="1"/>
    <w:next w:val="1"/>
    <w:link w:val="31"/>
    <w:qFormat/>
    <w:uiPriority w:val="0"/>
    <w:pPr>
      <w:ind w:left="100" w:leftChars="2500"/>
    </w:pPr>
    <w:rPr>
      <w:rFonts w:eastAsia="宋体"/>
      <w:sz w:val="21"/>
      <w:szCs w:val="24"/>
      <w:lang w:val="zh-CN" w:eastAsia="zh-CN"/>
    </w:rPr>
  </w:style>
  <w:style w:type="paragraph" w:styleId="10">
    <w:name w:val="Balloon Text"/>
    <w:basedOn w:val="1"/>
    <w:link w:val="32"/>
    <w:qFormat/>
    <w:uiPriority w:val="0"/>
    <w:rPr>
      <w:sz w:val="18"/>
      <w:szCs w:val="18"/>
      <w:lang w:val="zh-CN" w:eastAsia="zh-CN"/>
    </w:rPr>
  </w:style>
  <w:style w:type="paragraph" w:styleId="11">
    <w:name w:val="footer"/>
    <w:basedOn w:val="1"/>
    <w:link w:val="29"/>
    <w:qFormat/>
    <w:uiPriority w:val="0"/>
    <w:pPr>
      <w:tabs>
        <w:tab w:val="center" w:pos="4153"/>
        <w:tab w:val="right" w:pos="8306"/>
      </w:tabs>
      <w:snapToGrid w:val="0"/>
      <w:jc w:val="left"/>
    </w:pPr>
    <w:rPr>
      <w:sz w:val="18"/>
      <w:szCs w:val="18"/>
      <w:lang w:val="zh-CN" w:eastAsia="zh-CN"/>
    </w:rPr>
  </w:style>
  <w:style w:type="paragraph" w:styleId="12">
    <w:name w:val="header"/>
    <w:basedOn w:val="1"/>
    <w:link w:val="28"/>
    <w:qFormat/>
    <w:uiPriority w:val="99"/>
    <w:pPr>
      <w:pBdr>
        <w:bottom w:val="single" w:color="auto" w:sz="6" w:space="1"/>
      </w:pBdr>
      <w:tabs>
        <w:tab w:val="center" w:pos="4153"/>
        <w:tab w:val="right" w:pos="8306"/>
      </w:tabs>
      <w:snapToGrid w:val="0"/>
      <w:jc w:val="center"/>
    </w:pPr>
    <w:rPr>
      <w:sz w:val="18"/>
      <w:szCs w:val="18"/>
      <w:lang w:val="zh-CN" w:eastAsia="zh-CN"/>
    </w:rPr>
  </w:style>
  <w:style w:type="paragraph" w:styleId="13">
    <w:name w:val="Body Text Indent 3"/>
    <w:basedOn w:val="1"/>
    <w:link w:val="41"/>
    <w:qFormat/>
    <w:uiPriority w:val="0"/>
    <w:pPr>
      <w:spacing w:line="300" w:lineRule="auto"/>
      <w:ind w:firstLine="435"/>
    </w:pPr>
    <w:rPr>
      <w:rFonts w:ascii="楷体_GB2312"/>
      <w:sz w:val="24"/>
      <w:szCs w:val="24"/>
      <w:lang w:val="zh-CN" w:eastAsia="zh-CN"/>
    </w:rPr>
  </w:style>
  <w:style w:type="paragraph" w:styleId="14">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15">
    <w:name w:val="Title"/>
    <w:basedOn w:val="1"/>
    <w:next w:val="1"/>
    <w:link w:val="57"/>
    <w:qFormat/>
    <w:uiPriority w:val="0"/>
    <w:pPr>
      <w:spacing w:before="240" w:after="60"/>
      <w:jc w:val="center"/>
      <w:outlineLvl w:val="0"/>
    </w:pPr>
    <w:rPr>
      <w:rFonts w:ascii="等线 Light" w:hAnsi="等线 Light" w:eastAsia="宋体"/>
      <w:b/>
      <w:bCs/>
      <w:szCs w:val="32"/>
    </w:rPr>
  </w:style>
  <w:style w:type="paragraph" w:styleId="16">
    <w:name w:val="annotation subject"/>
    <w:basedOn w:val="7"/>
    <w:next w:val="7"/>
    <w:semiHidden/>
    <w:qFormat/>
    <w:uiPriority w:val="0"/>
    <w:rPr>
      <w:b/>
      <w:bCs/>
    </w:rPr>
  </w:style>
  <w:style w:type="table" w:styleId="18">
    <w:name w:val="Table Grid"/>
    <w:basedOn w:val="17"/>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page number"/>
    <w:basedOn w:val="19"/>
    <w:qFormat/>
    <w:uiPriority w:val="0"/>
  </w:style>
  <w:style w:type="character" w:styleId="22">
    <w:name w:val="Hyperlink"/>
    <w:unhideWhenUsed/>
    <w:qFormat/>
    <w:uiPriority w:val="0"/>
    <w:rPr>
      <w:color w:val="0000FF"/>
      <w:u w:val="single"/>
    </w:rPr>
  </w:style>
  <w:style w:type="character" w:styleId="23">
    <w:name w:val="annotation reference"/>
    <w:semiHidden/>
    <w:qFormat/>
    <w:uiPriority w:val="0"/>
    <w:rPr>
      <w:sz w:val="21"/>
      <w:szCs w:val="21"/>
    </w:rPr>
  </w:style>
  <w:style w:type="character" w:customStyle="1" w:styleId="24">
    <w:name w:val="标题 1 字符"/>
    <w:link w:val="2"/>
    <w:qFormat/>
    <w:uiPriority w:val="0"/>
    <w:rPr>
      <w:rFonts w:eastAsia="仿宋_GB2312"/>
      <w:b/>
      <w:bCs/>
      <w:kern w:val="44"/>
      <w:sz w:val="44"/>
      <w:szCs w:val="44"/>
    </w:rPr>
  </w:style>
  <w:style w:type="character" w:customStyle="1" w:styleId="25">
    <w:name w:val="标题 2 字符"/>
    <w:link w:val="3"/>
    <w:qFormat/>
    <w:uiPriority w:val="0"/>
    <w:rPr>
      <w:rFonts w:ascii="Arial" w:hAnsi="Arial" w:eastAsia="黑体"/>
      <w:b/>
      <w:bCs/>
      <w:kern w:val="2"/>
      <w:sz w:val="32"/>
      <w:szCs w:val="32"/>
    </w:rPr>
  </w:style>
  <w:style w:type="character" w:customStyle="1" w:styleId="26">
    <w:name w:val="标题 3 字符"/>
    <w:link w:val="4"/>
    <w:qFormat/>
    <w:uiPriority w:val="0"/>
    <w:rPr>
      <w:rFonts w:eastAsia="仿宋_GB2312"/>
      <w:b/>
      <w:bCs/>
      <w:kern w:val="2"/>
      <w:sz w:val="32"/>
      <w:szCs w:val="32"/>
    </w:rPr>
  </w:style>
  <w:style w:type="character" w:customStyle="1" w:styleId="27">
    <w:name w:val="标题 5 字符"/>
    <w:link w:val="5"/>
    <w:qFormat/>
    <w:uiPriority w:val="0"/>
    <w:rPr>
      <w:rFonts w:ascii="Calibri" w:hAnsi="Calibri"/>
      <w:b/>
      <w:bCs/>
      <w:sz w:val="28"/>
      <w:szCs w:val="28"/>
    </w:rPr>
  </w:style>
  <w:style w:type="character" w:customStyle="1" w:styleId="28">
    <w:name w:val="页眉 字符"/>
    <w:link w:val="12"/>
    <w:qFormat/>
    <w:uiPriority w:val="99"/>
    <w:rPr>
      <w:rFonts w:eastAsia="仿宋_GB2312"/>
      <w:kern w:val="2"/>
      <w:sz w:val="18"/>
      <w:szCs w:val="18"/>
    </w:rPr>
  </w:style>
  <w:style w:type="character" w:customStyle="1" w:styleId="29">
    <w:name w:val="页脚 字符"/>
    <w:link w:val="11"/>
    <w:qFormat/>
    <w:uiPriority w:val="0"/>
    <w:rPr>
      <w:rFonts w:eastAsia="仿宋_GB2312"/>
      <w:kern w:val="2"/>
      <w:sz w:val="18"/>
      <w:szCs w:val="18"/>
    </w:rPr>
  </w:style>
  <w:style w:type="character" w:customStyle="1" w:styleId="30">
    <w:name w:val="正文文本缩进 字符"/>
    <w:link w:val="8"/>
    <w:qFormat/>
    <w:uiPriority w:val="0"/>
    <w:rPr>
      <w:kern w:val="2"/>
      <w:sz w:val="21"/>
      <w:szCs w:val="24"/>
    </w:rPr>
  </w:style>
  <w:style w:type="character" w:customStyle="1" w:styleId="31">
    <w:name w:val="日期 字符"/>
    <w:link w:val="9"/>
    <w:qFormat/>
    <w:uiPriority w:val="0"/>
    <w:rPr>
      <w:kern w:val="2"/>
      <w:sz w:val="21"/>
      <w:szCs w:val="24"/>
    </w:rPr>
  </w:style>
  <w:style w:type="character" w:customStyle="1" w:styleId="32">
    <w:name w:val="批注框文本 字符"/>
    <w:link w:val="10"/>
    <w:qFormat/>
    <w:uiPriority w:val="0"/>
    <w:rPr>
      <w:rFonts w:eastAsia="仿宋_GB2312"/>
      <w:kern w:val="2"/>
      <w:sz w:val="18"/>
      <w:szCs w:val="18"/>
    </w:rPr>
  </w:style>
  <w:style w:type="paragraph" w:customStyle="1" w:styleId="33">
    <w:name w:val="列出段落1"/>
    <w:basedOn w:val="1"/>
    <w:qFormat/>
    <w:uiPriority w:val="34"/>
    <w:pPr>
      <w:spacing w:line="400" w:lineRule="exact"/>
      <w:ind w:firstLine="420" w:firstLineChars="200"/>
    </w:pPr>
    <w:rPr>
      <w:rFonts w:eastAsia="宋体"/>
      <w:sz w:val="24"/>
      <w:szCs w:val="24"/>
    </w:rPr>
  </w:style>
  <w:style w:type="character" w:customStyle="1" w:styleId="34">
    <w:name w:val="已访问的超链接1"/>
    <w:qFormat/>
    <w:uiPriority w:val="0"/>
    <w:rPr>
      <w:color w:val="800080"/>
      <w:u w:val="single"/>
    </w:rPr>
  </w:style>
  <w:style w:type="character" w:customStyle="1" w:styleId="35">
    <w:name w:val="条文说明 Char"/>
    <w:link w:val="36"/>
    <w:qFormat/>
    <w:uiPriority w:val="0"/>
    <w:rPr>
      <w:sz w:val="24"/>
      <w:szCs w:val="24"/>
      <w:lang w:val="zh-CN"/>
    </w:rPr>
  </w:style>
  <w:style w:type="paragraph" w:customStyle="1" w:styleId="36">
    <w:name w:val="条文说明"/>
    <w:basedOn w:val="1"/>
    <w:link w:val="35"/>
    <w:qFormat/>
    <w:uiPriority w:val="0"/>
    <w:pPr>
      <w:autoSpaceDE w:val="0"/>
      <w:autoSpaceDN w:val="0"/>
      <w:adjustRightInd w:val="0"/>
      <w:spacing w:line="400" w:lineRule="exact"/>
      <w:ind w:firstLine="200" w:firstLineChars="200"/>
    </w:pPr>
    <w:rPr>
      <w:rFonts w:eastAsia="宋体"/>
      <w:kern w:val="0"/>
      <w:sz w:val="24"/>
      <w:szCs w:val="24"/>
      <w:lang w:val="zh-CN" w:eastAsia="zh-CN"/>
    </w:rPr>
  </w:style>
  <w:style w:type="character" w:customStyle="1" w:styleId="37">
    <w:name w:val="表标题 Char Char"/>
    <w:link w:val="38"/>
    <w:qFormat/>
    <w:uiPriority w:val="0"/>
    <w:rPr>
      <w:rFonts w:eastAsia="黑体"/>
      <w:szCs w:val="21"/>
    </w:rPr>
  </w:style>
  <w:style w:type="paragraph" w:customStyle="1" w:styleId="38">
    <w:name w:val="表标题"/>
    <w:basedOn w:val="1"/>
    <w:link w:val="37"/>
    <w:qFormat/>
    <w:uiPriority w:val="0"/>
    <w:pPr>
      <w:spacing w:line="480" w:lineRule="auto"/>
      <w:jc w:val="center"/>
    </w:pPr>
    <w:rPr>
      <w:rFonts w:eastAsia="黑体"/>
      <w:kern w:val="0"/>
      <w:sz w:val="20"/>
      <w:szCs w:val="21"/>
      <w:lang w:val="zh-CN" w:eastAsia="zh-CN"/>
    </w:rPr>
  </w:style>
  <w:style w:type="character" w:customStyle="1" w:styleId="39">
    <w:name w:val="title1"/>
    <w:qFormat/>
    <w:uiPriority w:val="0"/>
    <w:rPr>
      <w:b/>
      <w:bCs/>
      <w:sz w:val="23"/>
      <w:szCs w:val="23"/>
    </w:rPr>
  </w:style>
  <w:style w:type="character" w:customStyle="1" w:styleId="40">
    <w:name w:val="文档结构图 字符"/>
    <w:link w:val="6"/>
    <w:qFormat/>
    <w:uiPriority w:val="0"/>
    <w:rPr>
      <w:sz w:val="24"/>
      <w:szCs w:val="24"/>
      <w:shd w:val="clear" w:color="auto" w:fill="000080"/>
    </w:rPr>
  </w:style>
  <w:style w:type="character" w:customStyle="1" w:styleId="41">
    <w:name w:val="正文文本缩进 3 字符"/>
    <w:link w:val="13"/>
    <w:qFormat/>
    <w:uiPriority w:val="0"/>
    <w:rPr>
      <w:rFonts w:ascii="楷体_GB2312" w:eastAsia="仿宋_GB2312"/>
      <w:kern w:val="2"/>
      <w:sz w:val="24"/>
      <w:szCs w:val="24"/>
    </w:rPr>
  </w:style>
  <w:style w:type="paragraph" w:customStyle="1" w:styleId="42">
    <w:name w:val="表格文字"/>
    <w:basedOn w:val="1"/>
    <w:qFormat/>
    <w:uiPriority w:val="0"/>
    <w:pPr>
      <w:widowControl/>
      <w:jc w:val="center"/>
    </w:pPr>
    <w:rPr>
      <w:rFonts w:eastAsia="宋体" w:cs="宋体"/>
      <w:bCs/>
      <w:color w:val="000000"/>
      <w:kern w:val="0"/>
      <w:sz w:val="21"/>
      <w:szCs w:val="21"/>
    </w:rPr>
  </w:style>
  <w:style w:type="paragraph" w:customStyle="1" w:styleId="43">
    <w:name w:val="_Style 2"/>
    <w:basedOn w:val="1"/>
    <w:qFormat/>
    <w:uiPriority w:val="0"/>
    <w:pPr>
      <w:ind w:firstLine="420" w:firstLineChars="200"/>
    </w:pPr>
    <w:rPr>
      <w:rFonts w:eastAsia="仿宋"/>
      <w:sz w:val="28"/>
      <w:szCs w:val="28"/>
    </w:rPr>
  </w:style>
  <w:style w:type="paragraph" w:customStyle="1" w:styleId="44">
    <w:name w:val="图表名"/>
    <w:basedOn w:val="1"/>
    <w:qFormat/>
    <w:uiPriority w:val="0"/>
    <w:pPr>
      <w:spacing w:line="360" w:lineRule="auto"/>
      <w:jc w:val="center"/>
    </w:pPr>
    <w:rPr>
      <w:rFonts w:eastAsia="宋体"/>
      <w:sz w:val="21"/>
      <w:szCs w:val="24"/>
    </w:rPr>
  </w:style>
  <w:style w:type="paragraph" w:customStyle="1" w:styleId="45">
    <w:name w:val="图名称"/>
    <w:basedOn w:val="1"/>
    <w:qFormat/>
    <w:uiPriority w:val="0"/>
    <w:pPr>
      <w:widowControl/>
      <w:spacing w:beforeLines="50" w:afterLines="50"/>
      <w:jc w:val="center"/>
    </w:pPr>
    <w:rPr>
      <w:rFonts w:eastAsia="宋体"/>
      <w:bCs/>
      <w:color w:val="000000"/>
      <w:kern w:val="0"/>
      <w:sz w:val="21"/>
      <w:szCs w:val="21"/>
    </w:rPr>
  </w:style>
  <w:style w:type="paragraph" w:customStyle="1" w:styleId="46">
    <w:name w:val="列出段落2"/>
    <w:basedOn w:val="1"/>
    <w:qFormat/>
    <w:uiPriority w:val="0"/>
    <w:pPr>
      <w:ind w:firstLine="420" w:firstLineChars="200"/>
    </w:pPr>
    <w:rPr>
      <w:rFonts w:eastAsia="仿宋"/>
      <w:sz w:val="28"/>
      <w:szCs w:val="28"/>
    </w:rPr>
  </w:style>
  <w:style w:type="paragraph" w:customStyle="1" w:styleId="47">
    <w:name w:val="列出段落11"/>
    <w:basedOn w:val="1"/>
    <w:qFormat/>
    <w:uiPriority w:val="0"/>
    <w:pPr>
      <w:ind w:firstLine="420" w:firstLineChars="200"/>
    </w:pPr>
    <w:rPr>
      <w:rFonts w:eastAsia="仿宋"/>
      <w:sz w:val="28"/>
      <w:szCs w:val="28"/>
    </w:rPr>
  </w:style>
  <w:style w:type="paragraph" w:styleId="48">
    <w:name w:val="No Spacing"/>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49">
    <w:name w:val="图表注"/>
    <w:basedOn w:val="1"/>
    <w:qFormat/>
    <w:uiPriority w:val="0"/>
    <w:rPr>
      <w:rFonts w:eastAsia="宋体"/>
      <w:sz w:val="18"/>
      <w:szCs w:val="24"/>
    </w:rPr>
  </w:style>
  <w:style w:type="paragraph" w:customStyle="1" w:styleId="50">
    <w:name w:val="图小注"/>
    <w:basedOn w:val="49"/>
    <w:qFormat/>
    <w:uiPriority w:val="0"/>
    <w:pPr>
      <w:widowControl/>
      <w:jc w:val="center"/>
    </w:pPr>
  </w:style>
  <w:style w:type="paragraph" w:customStyle="1" w:styleId="51">
    <w:name w:val="样式1"/>
    <w:basedOn w:val="1"/>
    <w:qFormat/>
    <w:uiPriority w:val="0"/>
    <w:pPr>
      <w:adjustRightInd w:val="0"/>
      <w:spacing w:line="400" w:lineRule="exact"/>
      <w:ind w:firstLine="200" w:firstLineChars="200"/>
    </w:pPr>
    <w:rPr>
      <w:rFonts w:eastAsia="宋体"/>
      <w:sz w:val="24"/>
      <w:szCs w:val="24"/>
    </w:rPr>
  </w:style>
  <w:style w:type="paragraph" w:customStyle="1" w:styleId="52">
    <w:name w:val="正文缩进2字符"/>
    <w:basedOn w:val="1"/>
    <w:qFormat/>
    <w:uiPriority w:val="0"/>
    <w:pPr>
      <w:spacing w:line="400" w:lineRule="exact"/>
      <w:ind w:firstLine="200" w:firstLineChars="200"/>
    </w:pPr>
    <w:rPr>
      <w:rFonts w:eastAsia="宋体"/>
      <w:sz w:val="24"/>
      <w:szCs w:val="24"/>
    </w:rPr>
  </w:style>
  <w:style w:type="paragraph" w:customStyle="1" w:styleId="53">
    <w:name w:val="列出段落3"/>
    <w:basedOn w:val="1"/>
    <w:qFormat/>
    <w:uiPriority w:val="0"/>
    <w:pPr>
      <w:spacing w:line="400" w:lineRule="exact"/>
      <w:ind w:firstLine="420" w:firstLineChars="200"/>
    </w:pPr>
    <w:rPr>
      <w:rFonts w:eastAsia="宋体"/>
      <w:sz w:val="24"/>
      <w:szCs w:val="24"/>
    </w:rPr>
  </w:style>
  <w:style w:type="paragraph" w:customStyle="1" w:styleId="54">
    <w:name w:val="目录 21"/>
    <w:basedOn w:val="1"/>
    <w:next w:val="1"/>
    <w:qFormat/>
    <w:uiPriority w:val="0"/>
    <w:pPr>
      <w:spacing w:line="400" w:lineRule="exact"/>
      <w:ind w:left="420" w:leftChars="200"/>
    </w:pPr>
    <w:rPr>
      <w:rFonts w:eastAsia="宋体"/>
      <w:sz w:val="24"/>
      <w:szCs w:val="24"/>
    </w:rPr>
  </w:style>
  <w:style w:type="character" w:customStyle="1" w:styleId="55">
    <w:name w:val="文档结构图 Char1"/>
    <w:qFormat/>
    <w:uiPriority w:val="99"/>
    <w:rPr>
      <w:rFonts w:ascii="宋体"/>
      <w:kern w:val="2"/>
      <w:sz w:val="18"/>
      <w:szCs w:val="18"/>
    </w:rPr>
  </w:style>
  <w:style w:type="paragraph" w:customStyle="1" w:styleId="56">
    <w:name w:val="目录 11"/>
    <w:basedOn w:val="1"/>
    <w:next w:val="1"/>
    <w:qFormat/>
    <w:uiPriority w:val="0"/>
    <w:pPr>
      <w:tabs>
        <w:tab w:val="right" w:leader="dot" w:pos="8296"/>
      </w:tabs>
      <w:adjustRightInd w:val="0"/>
      <w:snapToGrid w:val="0"/>
      <w:jc w:val="center"/>
    </w:pPr>
    <w:rPr>
      <w:rFonts w:eastAsia="宋体"/>
      <w:sz w:val="24"/>
      <w:szCs w:val="24"/>
    </w:rPr>
  </w:style>
  <w:style w:type="character" w:customStyle="1" w:styleId="57">
    <w:name w:val="标题 字符"/>
    <w:link w:val="15"/>
    <w:qFormat/>
    <w:uiPriority w:val="0"/>
    <w:rPr>
      <w:rFonts w:ascii="等线 Light" w:hAnsi="等线 Light" w:cs="Times New Roman"/>
      <w:b/>
      <w:bCs/>
      <w:kern w:val="2"/>
      <w:sz w:val="32"/>
      <w:szCs w:val="32"/>
    </w:rPr>
  </w:style>
  <w:style w:type="character" w:customStyle="1" w:styleId="58">
    <w:name w:val="未处理的提及1"/>
    <w:semiHidden/>
    <w:unhideWhenUsed/>
    <w:qFormat/>
    <w:uiPriority w:val="99"/>
    <w:rPr>
      <w:color w:val="605E5C"/>
      <w:shd w:val="clear" w:color="auto" w:fill="E1DFDD"/>
    </w:rPr>
  </w:style>
  <w:style w:type="paragraph" w:customStyle="1" w:styleId="59">
    <w:name w:val="Revision"/>
    <w:hidden/>
    <w:semiHidden/>
    <w:qFormat/>
    <w:uiPriority w:val="99"/>
    <w:rPr>
      <w:rFonts w:ascii="Times New Roman" w:hAnsi="Times New Roman" w:eastAsia="仿宋_GB2312" w:cs="Times New Roman"/>
      <w:kern w:val="2"/>
      <w:sz w:val="32"/>
      <w:lang w:val="en-US" w:eastAsia="zh-CN" w:bidi="ar-SA"/>
    </w:rPr>
  </w:style>
  <w:style w:type="character" w:customStyle="1" w:styleId="6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111</Pages>
  <Words>717</Words>
  <Characters>740</Characters>
  <Lines>501</Lines>
  <Paragraphs>141</Paragraphs>
  <TotalTime>2</TotalTime>
  <ScaleCrop>false</ScaleCrop>
  <LinksUpToDate>false</LinksUpToDate>
  <CharactersWithSpaces>1014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2020-04-14T06:51:00Z</dcterms:created>
  <dc:creator>微软用户</dc:creator>
  <cp:lastModifiedBy>琏</cp:lastModifiedBy>
  <cp:lastPrinted>2018-12-04T01:52:00Z</cp:lastPrinted>
  <dcterms:modified xsi:type="dcterms:W3CDTF">2025-11-17T02:11:47Z</dcterms:modified>
  <dc:title>附件：    河北省安全文明工地评审办法</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100EC19F7B4E445EB3F944F5CC674698_13</vt:lpwstr>
  </property>
  <property fmtid="{D5CDD505-2E9C-101B-9397-08002B2CF9AE}" pid="4" name="KSOTemplateDocerSaveRecord">
    <vt:lpwstr>eyJoZGlkIjoiNjJjYjg1ZmEwYTdmNWMzNzEyYWNhNzhjZjU5M2RiMWEiLCJ1c2VySWQiOiIxNDQ0NDkyNjA1In0=</vt:lpwstr>
  </property>
</Properties>
</file>